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11" w:rsidRDefault="00032B11">
      <w:r w:rsidRPr="00032B11">
        <w:rPr>
          <w:noProof/>
          <w:lang w:eastAsia="nl-NL"/>
        </w:rPr>
        <w:drawing>
          <wp:inline distT="0" distB="0" distL="0" distR="0">
            <wp:extent cx="952500" cy="952500"/>
            <wp:effectExtent l="0" t="0" r="0" b="0"/>
            <wp:docPr id="1" name="Afbeelding 1" descr="C:\Users\eradius\Documents\mogroep srw\mogroepsrw\communicatie\logo losr\logo_sociaal_raadsl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dius\Documents\mogroep srw\mogroepsrw\communicatie\logo losr\logo_sociaal_raadsli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032B11">
        <w:rPr>
          <w:noProof/>
          <w:lang w:eastAsia="nl-NL"/>
        </w:rPr>
        <w:drawing>
          <wp:inline distT="0" distB="0" distL="0" distR="0">
            <wp:extent cx="1783080" cy="641909"/>
            <wp:effectExtent l="0" t="0" r="7620" b="6350"/>
            <wp:docPr id="2" name="Afbeelding 2" descr="C:\Users\eradius\Documents\mogroep algemeen\communicatie\logo swn\logo s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dius\Documents\mogroep algemeen\communicatie\logo swn\logo s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29" cy="6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11" w:rsidRDefault="00032B11"/>
    <w:p w:rsidR="007716A0" w:rsidRPr="00CA7128" w:rsidRDefault="00A04EEE">
      <w:pPr>
        <w:rPr>
          <w:b/>
        </w:rPr>
      </w:pPr>
      <w:r>
        <w:t>Titel aanbod:</w:t>
      </w:r>
      <w:r w:rsidR="00CA7128">
        <w:t xml:space="preserve"> </w:t>
      </w:r>
      <w:r w:rsidR="00CA7128" w:rsidRPr="00CA7128">
        <w:rPr>
          <w:b/>
        </w:rPr>
        <w:t>Training Inzicht in Inkomen</w:t>
      </w:r>
    </w:p>
    <w:p w:rsidR="00B8015C" w:rsidRDefault="00B8015C">
      <w:r>
        <w:t>Geaccrediteerde aanbieder van deskundigheidsbevordering voor sociaaljuridische dienstverlening</w:t>
      </w:r>
      <w:r w:rsidR="00A04EEE">
        <w:t xml:space="preserve"> bij Registerplein voor sociaaljuridische dienstverlening (www.registerplein.nl)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Naam organisatie:</w:t>
      </w:r>
      <w:r w:rsidR="00CA7128">
        <w:t xml:space="preserve"> </w:t>
      </w:r>
      <w:r w:rsidR="00CA7128" w:rsidRPr="00CA7128">
        <w:rPr>
          <w:b/>
        </w:rPr>
        <w:t>Inkomensinzicht Training &amp; Advies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Naam: uitvoerder/ contactpersoon</w:t>
      </w:r>
      <w:r w:rsidR="00CA7128">
        <w:t xml:space="preserve">: mr. Christa Romani/mr. Willem Ilmer 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Telefoon:</w:t>
      </w:r>
      <w:r w:rsidR="00CA7128">
        <w:t xml:space="preserve"> 06-23209822 (Romani)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Emailadres:</w:t>
      </w:r>
      <w:r w:rsidR="00CA7128">
        <w:t xml:space="preserve"> info@inkomensinzicht.nl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Website:</w:t>
      </w:r>
      <w:r w:rsidR="00CA7128">
        <w:t xml:space="preserve"> www.inkomensinzicht.nl</w:t>
      </w:r>
    </w:p>
    <w:p w:rsidR="00CA7128" w:rsidRPr="00CA7128" w:rsidRDefault="00B8015C" w:rsidP="00CA7128">
      <w:pPr>
        <w:pStyle w:val="Lijstalinea"/>
        <w:numPr>
          <w:ilvl w:val="0"/>
          <w:numId w:val="1"/>
        </w:numPr>
        <w:kinsoku w:val="0"/>
        <w:overflowPunct w:val="0"/>
        <w:textAlignment w:val="baseline"/>
        <w:rPr>
          <w:rFonts w:eastAsiaTheme="minorEastAsia" w:cs="Arial"/>
          <w:i/>
          <w:color w:val="000000"/>
          <w:kern w:val="24"/>
        </w:rPr>
      </w:pPr>
      <w:r>
        <w:t>Korte inhoud van aanbod voor deskundigheidsbevordering:</w:t>
      </w:r>
      <w:r w:rsidR="00CA7128" w:rsidRPr="00CA7128">
        <w:rPr>
          <w:rFonts w:eastAsiaTheme="minorEastAsia" w:cs="Arial"/>
          <w:i/>
          <w:color w:val="000000"/>
          <w:kern w:val="24"/>
        </w:rPr>
        <w:t xml:space="preserve"> </w:t>
      </w:r>
    </w:p>
    <w:p w:rsidR="00CA7128" w:rsidRPr="00CA7128" w:rsidRDefault="00CA7128" w:rsidP="00CA7128">
      <w:pPr>
        <w:kinsoku w:val="0"/>
        <w:overflowPunct w:val="0"/>
        <w:textAlignment w:val="baseline"/>
        <w:rPr>
          <w:rFonts w:eastAsiaTheme="minorEastAsia" w:cs="Arial"/>
          <w:b/>
          <w:i/>
          <w:color w:val="000000"/>
          <w:kern w:val="24"/>
        </w:rPr>
      </w:pPr>
      <w:r w:rsidRPr="00CA7128">
        <w:rPr>
          <w:rFonts w:eastAsiaTheme="minorEastAsia" w:cs="Arial"/>
          <w:b/>
          <w:i/>
          <w:color w:val="000000"/>
          <w:kern w:val="24"/>
        </w:rPr>
        <w:t xml:space="preserve">Training </w:t>
      </w:r>
      <w:r w:rsidR="00BD6E32">
        <w:rPr>
          <w:rFonts w:eastAsiaTheme="minorEastAsia" w:cs="Arial"/>
          <w:b/>
          <w:i/>
          <w:color w:val="000000"/>
          <w:kern w:val="24"/>
        </w:rPr>
        <w:t>‘</w:t>
      </w:r>
      <w:r w:rsidRPr="00CA7128">
        <w:rPr>
          <w:rFonts w:eastAsiaTheme="minorEastAsia" w:cs="Arial"/>
          <w:b/>
          <w:i/>
          <w:color w:val="000000"/>
          <w:kern w:val="24"/>
        </w:rPr>
        <w:t>Inzicht in Inkomen 2019</w:t>
      </w:r>
      <w:r w:rsidR="00BD6E32">
        <w:rPr>
          <w:rFonts w:eastAsiaTheme="minorEastAsia" w:cs="Arial"/>
          <w:b/>
          <w:i/>
          <w:color w:val="000000"/>
          <w:kern w:val="24"/>
        </w:rPr>
        <w:t>’</w:t>
      </w:r>
    </w:p>
    <w:p w:rsidR="00CA7128" w:rsidRDefault="00CA7128" w:rsidP="00CA7128">
      <w:pPr>
        <w:kinsoku w:val="0"/>
        <w:overflowPunct w:val="0"/>
        <w:textAlignment w:val="baseline"/>
        <w:rPr>
          <w:rFonts w:eastAsiaTheme="minorEastAsia" w:cs="Arial"/>
          <w:i/>
          <w:color w:val="000000"/>
          <w:kern w:val="24"/>
        </w:rPr>
      </w:pPr>
      <w:r w:rsidRPr="00C3346B">
        <w:rPr>
          <w:rFonts w:eastAsiaTheme="minorEastAsia" w:cs="Arial"/>
          <w:i/>
          <w:color w:val="000000"/>
          <w:kern w:val="24"/>
        </w:rPr>
        <w:t>Een klant met een inkomen op of rond het sociaal minimum heeft gemiddeld zo’n 13 verschillende inkomsten</w:t>
      </w:r>
      <w:r>
        <w:rPr>
          <w:rFonts w:eastAsiaTheme="minorEastAsia" w:cs="Arial"/>
          <w:i/>
          <w:color w:val="000000"/>
          <w:kern w:val="24"/>
        </w:rPr>
        <w:t xml:space="preserve">bronnen </w:t>
      </w:r>
      <w:r w:rsidRPr="00C3346B">
        <w:rPr>
          <w:rFonts w:eastAsiaTheme="minorEastAsia" w:cs="Arial"/>
          <w:i/>
          <w:color w:val="000000"/>
          <w:kern w:val="24"/>
        </w:rPr>
        <w:t xml:space="preserve">en deze zijn allemaal van invloed op elkaar. </w:t>
      </w:r>
      <w:r>
        <w:rPr>
          <w:rFonts w:eastAsiaTheme="minorEastAsia" w:cs="Arial"/>
          <w:i/>
          <w:color w:val="000000"/>
          <w:kern w:val="24"/>
        </w:rPr>
        <w:t>Iedere regeling heeft zijn eigen inkomstenbegrip en betaalmoment. Het gevolg? De burger heeft geen overzicht meer, er ontstaan schulden en er is hulp nodig van u als professional om het inkomen weer op orde te krijgen en te houden.</w:t>
      </w:r>
    </w:p>
    <w:p w:rsidR="00CA7128" w:rsidRDefault="00CA7128" w:rsidP="00CA7128">
      <w:pPr>
        <w:kinsoku w:val="0"/>
        <w:overflowPunct w:val="0"/>
        <w:textAlignment w:val="baseline"/>
        <w:rPr>
          <w:rFonts w:eastAsiaTheme="minorEastAsia" w:cs="Arial"/>
          <w:i/>
          <w:color w:val="000000"/>
          <w:kern w:val="24"/>
        </w:rPr>
      </w:pPr>
      <w:r w:rsidRPr="00C3346B">
        <w:rPr>
          <w:rFonts w:eastAsiaTheme="minorEastAsia" w:cs="Arial"/>
          <w:i/>
          <w:color w:val="000000"/>
          <w:kern w:val="24"/>
        </w:rPr>
        <w:t xml:space="preserve">Welke primaire inkomsten en inkomensondersteunende voorzieningen zijn er zoal en hoe beïnvloeden ze elkaar? Hoe zit het met de heffingskortingen en fiscaal partnerschap? Hoe schat je een belastbaar </w:t>
      </w:r>
      <w:r>
        <w:rPr>
          <w:rFonts w:eastAsiaTheme="minorEastAsia" w:cs="Arial"/>
          <w:i/>
          <w:color w:val="000000"/>
          <w:kern w:val="24"/>
        </w:rPr>
        <w:t>verzamel</w:t>
      </w:r>
      <w:r w:rsidRPr="00C3346B">
        <w:rPr>
          <w:rFonts w:eastAsiaTheme="minorEastAsia" w:cs="Arial"/>
          <w:i/>
          <w:color w:val="000000"/>
          <w:kern w:val="24"/>
        </w:rPr>
        <w:t>inkomen? Wat is het bruto en netto sociaal minimum en hoe bereken je dit?</w:t>
      </w:r>
      <w:r>
        <w:rPr>
          <w:rFonts w:eastAsiaTheme="minorEastAsia" w:cs="Arial"/>
          <w:i/>
          <w:color w:val="000000"/>
          <w:kern w:val="24"/>
        </w:rPr>
        <w:t xml:space="preserve"> </w:t>
      </w:r>
    </w:p>
    <w:p w:rsidR="00CA7128" w:rsidRDefault="00CA7128" w:rsidP="00CA7128">
      <w:pPr>
        <w:kinsoku w:val="0"/>
        <w:overflowPunct w:val="0"/>
        <w:textAlignment w:val="baseline"/>
        <w:rPr>
          <w:rFonts w:eastAsiaTheme="minorEastAsia" w:cs="Arial"/>
          <w:i/>
          <w:color w:val="000000"/>
          <w:kern w:val="24"/>
        </w:rPr>
      </w:pPr>
      <w:r w:rsidRPr="00C3346B">
        <w:rPr>
          <w:rFonts w:eastAsiaTheme="minorEastAsia" w:cs="Arial"/>
          <w:i/>
          <w:color w:val="000000"/>
          <w:kern w:val="24"/>
        </w:rPr>
        <w:t xml:space="preserve">Aan de hand van casuïstiek uit de praktijk leren we u om meer inzicht te krijgen in het inkomen van </w:t>
      </w:r>
      <w:r>
        <w:rPr>
          <w:rFonts w:eastAsiaTheme="minorEastAsia" w:cs="Arial"/>
          <w:i/>
          <w:color w:val="000000"/>
          <w:kern w:val="24"/>
        </w:rPr>
        <w:t>uw klant zodat u die hulp kunt bieden die nodig is.</w:t>
      </w:r>
      <w:r w:rsidRPr="00521006">
        <w:rPr>
          <w:rFonts w:eastAsiaTheme="minorEastAsia" w:cs="Arial"/>
          <w:i/>
          <w:color w:val="000000"/>
          <w:kern w:val="24"/>
        </w:rPr>
        <w:t xml:space="preserve"> </w:t>
      </w:r>
    </w:p>
    <w:p w:rsidR="00CA7128" w:rsidRPr="00B24369" w:rsidRDefault="00CA7128" w:rsidP="00CA7128">
      <w:pPr>
        <w:kinsoku w:val="0"/>
        <w:overflowPunct w:val="0"/>
        <w:textAlignment w:val="baseline"/>
        <w:rPr>
          <w:rFonts w:eastAsiaTheme="minorEastAsia" w:cs="Arial"/>
          <w:color w:val="000000"/>
          <w:kern w:val="24"/>
        </w:rPr>
      </w:pPr>
      <w:r w:rsidRPr="00B24369">
        <w:rPr>
          <w:rFonts w:eastAsiaTheme="minorEastAsia" w:cs="Arial"/>
          <w:color w:val="000000"/>
          <w:kern w:val="24"/>
        </w:rPr>
        <w:t>Na deze training kunt u:</w:t>
      </w:r>
    </w:p>
    <w:p w:rsidR="00CA7128" w:rsidRDefault="00CA7128" w:rsidP="00CA7128">
      <w:pPr>
        <w:pStyle w:val="Lijstalinea"/>
        <w:numPr>
          <w:ilvl w:val="1"/>
          <w:numId w:val="2"/>
        </w:numPr>
        <w:kinsoku w:val="0"/>
        <w:overflowPunct w:val="0"/>
        <w:spacing w:after="0" w:line="240" w:lineRule="auto"/>
        <w:textAlignment w:val="baseline"/>
      </w:pPr>
      <w:r>
        <w:t>Het actuele primaire (</w:t>
      </w:r>
      <w:proofErr w:type="spellStart"/>
      <w:r>
        <w:t>gezins</w:t>
      </w:r>
      <w:proofErr w:type="spellEnd"/>
      <w:r>
        <w:t>)inkomen van de klant berekenen;</w:t>
      </w:r>
    </w:p>
    <w:p w:rsidR="00CA7128" w:rsidRDefault="00CA7128" w:rsidP="00CA7128">
      <w:pPr>
        <w:pStyle w:val="Lijstalinea"/>
        <w:numPr>
          <w:ilvl w:val="1"/>
          <w:numId w:val="2"/>
        </w:numPr>
        <w:kinsoku w:val="0"/>
        <w:overflowPunct w:val="0"/>
        <w:spacing w:after="0" w:line="240" w:lineRule="auto"/>
        <w:textAlignment w:val="baseline"/>
      </w:pPr>
      <w:r>
        <w:t>Vaststellen of het recht op/de hoogte van deze primaire inkomstenbronnen juist is vastgesteld;</w:t>
      </w:r>
    </w:p>
    <w:p w:rsidR="00CA7128" w:rsidRPr="00C3346B" w:rsidRDefault="00CA7128" w:rsidP="00CA7128">
      <w:pPr>
        <w:pStyle w:val="Lijstalinea"/>
        <w:numPr>
          <w:ilvl w:val="1"/>
          <w:numId w:val="2"/>
        </w:numPr>
        <w:kinsoku w:val="0"/>
        <w:overflowPunct w:val="0"/>
        <w:spacing w:after="0" w:line="240" w:lineRule="auto"/>
        <w:textAlignment w:val="baseline"/>
      </w:pPr>
      <w:r w:rsidRPr="00C3346B">
        <w:t>Het sociaal minimum berekenen en v</w:t>
      </w:r>
      <w:r>
        <w:t>asts</w:t>
      </w:r>
      <w:r w:rsidRPr="00C3346B">
        <w:t xml:space="preserve">tellen of het actuele primaire inkomen onder </w:t>
      </w:r>
      <w:r>
        <w:t>dit re</w:t>
      </w:r>
      <w:r w:rsidRPr="00C3346B">
        <w:t>l</w:t>
      </w:r>
      <w:r>
        <w:t>ev</w:t>
      </w:r>
      <w:r w:rsidRPr="00C3346B">
        <w:t xml:space="preserve">ant </w:t>
      </w:r>
      <w:r>
        <w:t xml:space="preserve">sociaal </w:t>
      </w:r>
      <w:r w:rsidRPr="00C3346B">
        <w:t>mini</w:t>
      </w:r>
      <w:r>
        <w:t>mum ligt;</w:t>
      </w:r>
    </w:p>
    <w:p w:rsidR="00CA7128" w:rsidRPr="00334212" w:rsidRDefault="00CA7128" w:rsidP="00CA7128">
      <w:pPr>
        <w:pStyle w:val="Lijstalinea"/>
        <w:numPr>
          <w:ilvl w:val="1"/>
          <w:numId w:val="2"/>
        </w:numPr>
        <w:kinsoku w:val="0"/>
        <w:overflowPunct w:val="0"/>
        <w:spacing w:after="0" w:line="240" w:lineRule="auto"/>
        <w:textAlignment w:val="baseline"/>
      </w:pPr>
      <w:r>
        <w:rPr>
          <w:rFonts w:eastAsiaTheme="minorEastAsia" w:cs="Arial"/>
          <w:color w:val="000000"/>
          <w:kern w:val="24"/>
        </w:rPr>
        <w:t>Vast</w:t>
      </w:r>
      <w:r w:rsidRPr="00334212">
        <w:rPr>
          <w:rFonts w:eastAsiaTheme="minorEastAsia" w:cs="Arial"/>
          <w:color w:val="000000"/>
          <w:kern w:val="24"/>
        </w:rPr>
        <w:t>stellen of klant nog recht heeft op een inkomstenbron die klant niet ontvangt</w:t>
      </w:r>
      <w:r>
        <w:rPr>
          <w:rFonts w:eastAsiaTheme="minorEastAsia" w:cs="Arial"/>
          <w:color w:val="000000"/>
          <w:kern w:val="24"/>
        </w:rPr>
        <w:t>;</w:t>
      </w:r>
    </w:p>
    <w:p w:rsidR="00CA7128" w:rsidRPr="00334212" w:rsidRDefault="00CA7128" w:rsidP="00CA7128">
      <w:pPr>
        <w:pStyle w:val="Lijstalinea"/>
        <w:numPr>
          <w:ilvl w:val="1"/>
          <w:numId w:val="2"/>
        </w:numPr>
        <w:kinsoku w:val="0"/>
        <w:overflowPunct w:val="0"/>
        <w:spacing w:after="0" w:line="240" w:lineRule="auto"/>
        <w:textAlignment w:val="baseline"/>
      </w:pPr>
      <w:r w:rsidRPr="00334212">
        <w:rPr>
          <w:rFonts w:eastAsiaTheme="minorEastAsia" w:cs="Arial"/>
          <w:color w:val="000000"/>
          <w:kern w:val="24"/>
        </w:rPr>
        <w:t>Eventuele onjuiste verrekeningen</w:t>
      </w:r>
      <w:r>
        <w:rPr>
          <w:rFonts w:eastAsiaTheme="minorEastAsia" w:cs="Arial"/>
          <w:color w:val="000000"/>
          <w:kern w:val="24"/>
        </w:rPr>
        <w:t>/samenloop van inkomsten vaststellen en</w:t>
      </w:r>
      <w:r w:rsidRPr="00334212">
        <w:rPr>
          <w:rFonts w:eastAsiaTheme="minorEastAsia" w:cs="Arial"/>
          <w:color w:val="000000"/>
          <w:kern w:val="24"/>
        </w:rPr>
        <w:t xml:space="preserve"> corrigeren</w:t>
      </w:r>
      <w:r>
        <w:rPr>
          <w:rFonts w:eastAsiaTheme="minorEastAsia" w:cs="Arial"/>
          <w:color w:val="000000"/>
          <w:kern w:val="24"/>
        </w:rPr>
        <w:t>.</w:t>
      </w:r>
    </w:p>
    <w:p w:rsidR="00CA7128" w:rsidRDefault="00CA7128" w:rsidP="00CA7128"/>
    <w:p w:rsidR="00CA7128" w:rsidRDefault="00CA7128" w:rsidP="00CA7128">
      <w:r>
        <w:t>Programma:</w:t>
      </w:r>
    </w:p>
    <w:p w:rsidR="00CA7128" w:rsidRPr="00C3346B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 w:rsidRPr="00C3346B">
        <w:rPr>
          <w:rFonts w:eastAsiaTheme="minorEastAsia" w:cs="Arial"/>
          <w:color w:val="000000"/>
          <w:kern w:val="24"/>
        </w:rPr>
        <w:t xml:space="preserve">Inkomstenbronnen </w:t>
      </w:r>
      <w:r>
        <w:rPr>
          <w:rFonts w:eastAsiaTheme="minorEastAsia" w:cs="Arial"/>
          <w:color w:val="000000"/>
          <w:kern w:val="24"/>
        </w:rPr>
        <w:t>(alles tussen werk en bijstand)</w:t>
      </w:r>
    </w:p>
    <w:p w:rsidR="00CA7128" w:rsidRPr="00C3346B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>
        <w:rPr>
          <w:rFonts w:eastAsiaTheme="minorEastAsia" w:cs="Arial"/>
          <w:color w:val="000000"/>
          <w:kern w:val="24"/>
        </w:rPr>
        <w:t>De I</w:t>
      </w:r>
      <w:r w:rsidRPr="00C3346B">
        <w:rPr>
          <w:rFonts w:eastAsiaTheme="minorEastAsia" w:cs="Arial"/>
          <w:color w:val="000000"/>
          <w:kern w:val="24"/>
        </w:rPr>
        <w:t>nkomenscheck</w:t>
      </w:r>
      <w:r>
        <w:rPr>
          <w:rFonts w:eastAsiaTheme="minorEastAsia" w:cs="Arial"/>
          <w:color w:val="000000"/>
          <w:kern w:val="24"/>
        </w:rPr>
        <w:t xml:space="preserve"> (stappenplan)</w:t>
      </w:r>
    </w:p>
    <w:p w:rsidR="00CA7128" w:rsidRPr="00DB4377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 w:rsidRPr="00C3346B">
        <w:rPr>
          <w:rFonts w:eastAsiaTheme="minorEastAsia" w:cs="Arial"/>
          <w:color w:val="000000"/>
          <w:kern w:val="24"/>
        </w:rPr>
        <w:t>Het sociaal minimum</w:t>
      </w:r>
      <w:r>
        <w:rPr>
          <w:rFonts w:eastAsiaTheme="minorEastAsia" w:cs="Arial"/>
          <w:color w:val="000000"/>
          <w:kern w:val="24"/>
        </w:rPr>
        <w:t xml:space="preserve"> (aan de hand van de verkorte normenlijst: hoogte bijstand, kostendelersnorm, hoogte </w:t>
      </w:r>
      <w:proofErr w:type="spellStart"/>
      <w:r>
        <w:rPr>
          <w:rFonts w:eastAsiaTheme="minorEastAsia" w:cs="Arial"/>
          <w:color w:val="000000"/>
          <w:kern w:val="24"/>
        </w:rPr>
        <w:t>kindgebonden</w:t>
      </w:r>
      <w:proofErr w:type="spellEnd"/>
      <w:r>
        <w:rPr>
          <w:rFonts w:eastAsiaTheme="minorEastAsia" w:cs="Arial"/>
          <w:color w:val="000000"/>
          <w:kern w:val="24"/>
        </w:rPr>
        <w:t xml:space="preserve"> budget inclusief alo-kop/compensatie, bruto sociaal minimum en toeslagenwet)</w:t>
      </w:r>
    </w:p>
    <w:p w:rsidR="00CA7128" w:rsidRPr="00DB4377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>
        <w:rPr>
          <w:rFonts w:eastAsiaTheme="minorEastAsia" w:cs="Arial"/>
          <w:color w:val="000000"/>
          <w:kern w:val="24"/>
        </w:rPr>
        <w:lastRenderedPageBreak/>
        <w:t xml:space="preserve">De primaire inkomstenbron ‘Heffingskortingen’ </w:t>
      </w:r>
    </w:p>
    <w:p w:rsidR="00CA7128" w:rsidRPr="00C3346B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>
        <w:rPr>
          <w:rFonts w:eastAsiaTheme="minorEastAsia" w:cs="Arial"/>
          <w:color w:val="000000"/>
          <w:kern w:val="24"/>
        </w:rPr>
        <w:t>Schatting belastbaar verzamelinkomen</w:t>
      </w:r>
    </w:p>
    <w:p w:rsidR="00CA7128" w:rsidRPr="00DB4377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 w:rsidRPr="00DB4377">
        <w:rPr>
          <w:rFonts w:eastAsiaTheme="minorEastAsia" w:cs="Arial"/>
          <w:color w:val="000000"/>
          <w:kern w:val="24"/>
        </w:rPr>
        <w:t xml:space="preserve">Fiscaal partnerschap </w:t>
      </w:r>
    </w:p>
    <w:p w:rsidR="00CA7128" w:rsidRPr="00DB4377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>
        <w:rPr>
          <w:rFonts w:eastAsiaTheme="minorEastAsia" w:cs="Arial"/>
          <w:color w:val="000000"/>
          <w:kern w:val="24"/>
        </w:rPr>
        <w:t>D</w:t>
      </w:r>
      <w:r w:rsidRPr="00DB4377">
        <w:rPr>
          <w:rFonts w:eastAsiaTheme="minorEastAsia" w:cs="Arial"/>
          <w:color w:val="000000"/>
          <w:kern w:val="24"/>
        </w:rPr>
        <w:t xml:space="preserve">e </w:t>
      </w:r>
      <w:r>
        <w:rPr>
          <w:rFonts w:eastAsiaTheme="minorEastAsia" w:cs="Arial"/>
          <w:color w:val="000000"/>
          <w:kern w:val="24"/>
        </w:rPr>
        <w:t>algemene heffingskorting (AHK)</w:t>
      </w:r>
      <w:r w:rsidRPr="00DB4377">
        <w:rPr>
          <w:rFonts w:eastAsiaTheme="minorEastAsia" w:cs="Arial"/>
          <w:color w:val="000000"/>
          <w:kern w:val="24"/>
        </w:rPr>
        <w:t xml:space="preserve"> </w:t>
      </w:r>
    </w:p>
    <w:p w:rsidR="00CA7128" w:rsidRPr="00DB4377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>
        <w:rPr>
          <w:rFonts w:eastAsiaTheme="minorEastAsia" w:cs="Arial"/>
          <w:color w:val="000000"/>
          <w:kern w:val="24"/>
        </w:rPr>
        <w:t>De arbeidskorting (AK)</w:t>
      </w:r>
    </w:p>
    <w:p w:rsidR="00CA7128" w:rsidRPr="00CA7128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>
        <w:rPr>
          <w:rFonts w:eastAsiaTheme="minorEastAsia" w:cs="Arial"/>
          <w:color w:val="000000"/>
          <w:kern w:val="24"/>
        </w:rPr>
        <w:t>De inkomensafhankelijke combinatiekorting (IACK)</w:t>
      </w:r>
    </w:p>
    <w:p w:rsidR="00CA7128" w:rsidRPr="00CA7128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>
        <w:rPr>
          <w:rFonts w:eastAsiaTheme="minorEastAsia" w:cs="Arial"/>
          <w:color w:val="000000"/>
          <w:kern w:val="24"/>
        </w:rPr>
        <w:t>De jonggehandicaptenkorting</w:t>
      </w:r>
    </w:p>
    <w:p w:rsidR="00CA7128" w:rsidRPr="00DB4377" w:rsidRDefault="00CA7128" w:rsidP="00CA7128">
      <w:pPr>
        <w:pStyle w:val="Lijstalinea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</w:pPr>
      <w:r>
        <w:rPr>
          <w:rFonts w:eastAsiaTheme="minorEastAsia" w:cs="Arial"/>
          <w:color w:val="000000"/>
          <w:kern w:val="24"/>
        </w:rPr>
        <w:t>De ouderen- en aanvullende ouderenkorting</w:t>
      </w:r>
    </w:p>
    <w:p w:rsidR="00B8015C" w:rsidRDefault="00B8015C" w:rsidP="00CA7128">
      <w:pPr>
        <w:ind w:left="360"/>
      </w:pPr>
    </w:p>
    <w:p w:rsidR="00CA7128" w:rsidRDefault="00CA7128" w:rsidP="00CA7128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 xml:space="preserve">Niveau: </w:t>
      </w:r>
      <w:r w:rsidR="00CA7128">
        <w:t>hbo met cijfermatig inzicht</w:t>
      </w:r>
    </w:p>
    <w:p w:rsidR="00CA7128" w:rsidRDefault="00CA7128" w:rsidP="00B8015C">
      <w:pPr>
        <w:pStyle w:val="Lijstalinea"/>
        <w:numPr>
          <w:ilvl w:val="0"/>
          <w:numId w:val="1"/>
        </w:numPr>
      </w:pPr>
      <w:r>
        <w:t xml:space="preserve">Aantal uren van aanbod: </w:t>
      </w:r>
      <w:r w:rsidR="0023338F">
        <w:t xml:space="preserve"> 7 uur , </w:t>
      </w:r>
      <w:bookmarkStart w:id="0" w:name="_GoBack"/>
      <w:bookmarkEnd w:id="0"/>
      <w:r>
        <w:t xml:space="preserve">hele dag </w:t>
      </w:r>
      <w:r w:rsidR="00BD6E32">
        <w:t xml:space="preserve">9.30 -16.30 uur </w:t>
      </w:r>
      <w:r>
        <w:t xml:space="preserve">met veel casuïstiek uit de raadsliedenpraktijk. 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Kosten:</w:t>
      </w:r>
      <w:r w:rsidR="00BD6E32">
        <w:t xml:space="preserve"> In company € 1.750,- excl. btw (12 deelnemers). Open inschrijving gaat via </w:t>
      </w:r>
      <w:proofErr w:type="spellStart"/>
      <w:r w:rsidR="00BD6E32">
        <w:t>Asessor</w:t>
      </w:r>
      <w:proofErr w:type="spellEnd"/>
      <w:r w:rsidR="00BD6E32">
        <w:t xml:space="preserve"> €390,- excl. btw 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 xml:space="preserve">CV van aanbieder(s): </w:t>
      </w:r>
      <w:r w:rsidR="00BD6E32">
        <w:t>zie bijlage</w:t>
      </w:r>
    </w:p>
    <w:sectPr w:rsidR="00B8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D69"/>
    <w:multiLevelType w:val="hybridMultilevel"/>
    <w:tmpl w:val="BCB60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8C562">
      <w:start w:val="9"/>
      <w:numFmt w:val="bullet"/>
      <w:lvlText w:val="-"/>
      <w:lvlJc w:val="left"/>
      <w:pPr>
        <w:ind w:left="2160" w:hanging="360"/>
      </w:pPr>
      <w:rPr>
        <w:rFonts w:ascii="Calibri" w:eastAsiaTheme="minorEastAsia" w:hAnsi="Calibri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B5B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23F"/>
    <w:multiLevelType w:val="hybridMultilevel"/>
    <w:tmpl w:val="1C36A5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25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03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EB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68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04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7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06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41F38"/>
    <w:multiLevelType w:val="hybridMultilevel"/>
    <w:tmpl w:val="0B4E2B64"/>
    <w:lvl w:ilvl="0" w:tplc="06F8D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25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03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EB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68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04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7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06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C"/>
    <w:rsid w:val="00032B11"/>
    <w:rsid w:val="0023338F"/>
    <w:rsid w:val="007716A0"/>
    <w:rsid w:val="00A04EEE"/>
    <w:rsid w:val="00AC5B1F"/>
    <w:rsid w:val="00B8015C"/>
    <w:rsid w:val="00BD6E32"/>
    <w:rsid w:val="00C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B873"/>
  <w15:docId w15:val="{9C0AC30F-D33B-4376-AB25-14E060C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1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Radius</dc:creator>
  <cp:lastModifiedBy>Ernst Radius</cp:lastModifiedBy>
  <cp:revision>2</cp:revision>
  <cp:lastPrinted>2019-01-23T12:24:00Z</cp:lastPrinted>
  <dcterms:created xsi:type="dcterms:W3CDTF">2019-01-31T15:45:00Z</dcterms:created>
  <dcterms:modified xsi:type="dcterms:W3CDTF">2019-01-31T15:45:00Z</dcterms:modified>
</cp:coreProperties>
</file>