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11" w:rsidRDefault="00032B11">
      <w:r w:rsidRPr="00032B11">
        <w:rPr>
          <w:noProof/>
          <w:lang w:eastAsia="nl-NL"/>
        </w:rPr>
        <w:drawing>
          <wp:inline distT="0" distB="0" distL="0" distR="0">
            <wp:extent cx="952500" cy="952500"/>
            <wp:effectExtent l="0" t="0" r="0" b="0"/>
            <wp:docPr id="1" name="Afbeelding 1" descr="C:\Users\eradius\Documents\mogroep srw\mogroepsrw\communicatie\logo losr\logo_sociaal_raadsli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dius\Documents\mogroep srw\mogroepsrw\communicatie\logo losr\logo_sociaal_raadslied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ab/>
      </w:r>
      <w:r>
        <w:tab/>
      </w:r>
      <w:r w:rsidRPr="00032B11">
        <w:rPr>
          <w:noProof/>
          <w:lang w:eastAsia="nl-NL"/>
        </w:rPr>
        <w:drawing>
          <wp:inline distT="0" distB="0" distL="0" distR="0">
            <wp:extent cx="1783080" cy="641909"/>
            <wp:effectExtent l="0" t="0" r="7620" b="6350"/>
            <wp:docPr id="2" name="Afbeelding 2" descr="C:\Users\eradius\Documents\mogroep algemeen\communicatie\logo swn\logo s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adius\Documents\mogroep algemeen\communicatie\logo swn\logo s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4529" cy="646031"/>
                    </a:xfrm>
                    <a:prstGeom prst="rect">
                      <a:avLst/>
                    </a:prstGeom>
                    <a:noFill/>
                    <a:ln>
                      <a:noFill/>
                    </a:ln>
                  </pic:spPr>
                </pic:pic>
              </a:graphicData>
            </a:graphic>
          </wp:inline>
        </w:drawing>
      </w:r>
    </w:p>
    <w:p w:rsidR="00032B11" w:rsidRDefault="00032B11"/>
    <w:p w:rsidR="007716A0" w:rsidRPr="00CA7128" w:rsidRDefault="00A04EEE">
      <w:pPr>
        <w:rPr>
          <w:b/>
        </w:rPr>
      </w:pPr>
      <w:r>
        <w:t>Titel aanbod:</w:t>
      </w:r>
      <w:r w:rsidR="00CA7128">
        <w:t xml:space="preserve"> </w:t>
      </w:r>
      <w:bookmarkStart w:id="0" w:name="_GoBack"/>
      <w:r w:rsidR="00A13175">
        <w:rPr>
          <w:b/>
        </w:rPr>
        <w:t>Huur –en Zorgtoeslag</w:t>
      </w:r>
      <w:r w:rsidR="00C16AA4">
        <w:rPr>
          <w:b/>
        </w:rPr>
        <w:t xml:space="preserve"> </w:t>
      </w:r>
      <w:bookmarkEnd w:id="0"/>
    </w:p>
    <w:p w:rsidR="00B8015C" w:rsidRDefault="00B8015C">
      <w:r>
        <w:t>Geaccrediteerde aanbieder van deskundigheidsbevordering voor sociaaljuridische dienstverlening</w:t>
      </w:r>
      <w:r w:rsidR="00A04EEE">
        <w:t xml:space="preserve"> bij Registerplein voor sociaaljuridische dienstverlening (www.registerplein.nl)</w:t>
      </w:r>
    </w:p>
    <w:p w:rsidR="00B8015C" w:rsidRDefault="00B8015C" w:rsidP="00B8015C">
      <w:pPr>
        <w:pStyle w:val="Lijstalinea"/>
        <w:numPr>
          <w:ilvl w:val="0"/>
          <w:numId w:val="1"/>
        </w:numPr>
      </w:pPr>
      <w:r>
        <w:t>Naam organisatie:</w:t>
      </w:r>
      <w:r w:rsidR="00CA7128">
        <w:t xml:space="preserve"> </w:t>
      </w:r>
      <w:r w:rsidR="00CA7128" w:rsidRPr="00CA7128">
        <w:rPr>
          <w:b/>
        </w:rPr>
        <w:t>Inkomensinzicht Training &amp; Advies</w:t>
      </w:r>
    </w:p>
    <w:p w:rsidR="00B8015C" w:rsidRDefault="00B8015C" w:rsidP="00B8015C">
      <w:pPr>
        <w:pStyle w:val="Lijstalinea"/>
        <w:numPr>
          <w:ilvl w:val="0"/>
          <w:numId w:val="1"/>
        </w:numPr>
      </w:pPr>
      <w:r>
        <w:t>Naam: uitvoerder/ contactpersoon</w:t>
      </w:r>
      <w:r w:rsidR="00CA7128">
        <w:t xml:space="preserve">: mr. Christa Romani/mr. Willem Ilmer </w:t>
      </w:r>
    </w:p>
    <w:p w:rsidR="00B8015C" w:rsidRDefault="00B8015C" w:rsidP="00B8015C">
      <w:pPr>
        <w:pStyle w:val="Lijstalinea"/>
        <w:numPr>
          <w:ilvl w:val="0"/>
          <w:numId w:val="1"/>
        </w:numPr>
      </w:pPr>
      <w:r>
        <w:t>Telefoon:</w:t>
      </w:r>
      <w:r w:rsidR="00CA7128">
        <w:t xml:space="preserve"> 06-23209822 (Romani)</w:t>
      </w:r>
    </w:p>
    <w:p w:rsidR="00B8015C" w:rsidRDefault="00B8015C" w:rsidP="00B8015C">
      <w:pPr>
        <w:pStyle w:val="Lijstalinea"/>
        <w:numPr>
          <w:ilvl w:val="0"/>
          <w:numId w:val="1"/>
        </w:numPr>
      </w:pPr>
      <w:r>
        <w:t>Emailadres:</w:t>
      </w:r>
      <w:r w:rsidR="00CA7128">
        <w:t xml:space="preserve"> info@inkomensinzicht.nl</w:t>
      </w:r>
    </w:p>
    <w:p w:rsidR="00B8015C" w:rsidRDefault="00B8015C" w:rsidP="00B8015C">
      <w:pPr>
        <w:pStyle w:val="Lijstalinea"/>
        <w:numPr>
          <w:ilvl w:val="0"/>
          <w:numId w:val="1"/>
        </w:numPr>
      </w:pPr>
      <w:r>
        <w:t>Website:</w:t>
      </w:r>
      <w:r w:rsidR="00CA7128">
        <w:t xml:space="preserve"> www.inkomensinzicht.nl</w:t>
      </w:r>
    </w:p>
    <w:p w:rsidR="00CA7128" w:rsidRPr="00CA7128" w:rsidRDefault="00B8015C" w:rsidP="00CA7128">
      <w:pPr>
        <w:pStyle w:val="Lijstalinea"/>
        <w:numPr>
          <w:ilvl w:val="0"/>
          <w:numId w:val="1"/>
        </w:numPr>
        <w:kinsoku w:val="0"/>
        <w:overflowPunct w:val="0"/>
        <w:textAlignment w:val="baseline"/>
        <w:rPr>
          <w:rFonts w:eastAsiaTheme="minorEastAsia" w:cs="Arial"/>
          <w:i/>
          <w:color w:val="000000"/>
          <w:kern w:val="24"/>
        </w:rPr>
      </w:pPr>
      <w:r>
        <w:t>Korte inhoud van aanbod voor deskundigheidsbevordering:</w:t>
      </w:r>
      <w:r w:rsidR="00CA7128" w:rsidRPr="00CA7128">
        <w:rPr>
          <w:rFonts w:eastAsiaTheme="minorEastAsia" w:cs="Arial"/>
          <w:i/>
          <w:color w:val="000000"/>
          <w:kern w:val="24"/>
        </w:rPr>
        <w:t xml:space="preserve"> </w:t>
      </w:r>
    </w:p>
    <w:p w:rsidR="00CA7128" w:rsidRPr="00CA7128" w:rsidRDefault="00CA7128" w:rsidP="00CA7128">
      <w:pPr>
        <w:kinsoku w:val="0"/>
        <w:overflowPunct w:val="0"/>
        <w:textAlignment w:val="baseline"/>
        <w:rPr>
          <w:rFonts w:eastAsiaTheme="minorEastAsia" w:cs="Arial"/>
          <w:b/>
          <w:i/>
          <w:color w:val="000000"/>
          <w:kern w:val="24"/>
        </w:rPr>
      </w:pPr>
      <w:r w:rsidRPr="00CA7128">
        <w:rPr>
          <w:rFonts w:eastAsiaTheme="minorEastAsia" w:cs="Arial"/>
          <w:b/>
          <w:i/>
          <w:color w:val="000000"/>
          <w:kern w:val="24"/>
        </w:rPr>
        <w:t xml:space="preserve">Training </w:t>
      </w:r>
      <w:r w:rsidR="00BD6E32">
        <w:rPr>
          <w:rFonts w:eastAsiaTheme="minorEastAsia" w:cs="Arial"/>
          <w:b/>
          <w:i/>
          <w:color w:val="000000"/>
          <w:kern w:val="24"/>
        </w:rPr>
        <w:t>‘</w:t>
      </w:r>
      <w:r w:rsidR="00A13175">
        <w:rPr>
          <w:rFonts w:eastAsiaTheme="minorEastAsia" w:cs="Arial"/>
          <w:b/>
          <w:i/>
          <w:color w:val="000000"/>
          <w:kern w:val="24"/>
        </w:rPr>
        <w:t>Huur- en Zorgtoeslag 2019’</w:t>
      </w:r>
    </w:p>
    <w:p w:rsidR="00A13175" w:rsidRDefault="00A13175" w:rsidP="00A13175">
      <w:pPr>
        <w:kinsoku w:val="0"/>
        <w:overflowPunct w:val="0"/>
        <w:textAlignment w:val="baseline"/>
        <w:rPr>
          <w:rFonts w:eastAsiaTheme="minorEastAsia" w:cs="Arial"/>
          <w:i/>
          <w:color w:val="000000"/>
          <w:kern w:val="24"/>
        </w:rPr>
      </w:pPr>
      <w:r w:rsidRPr="00B24369">
        <w:rPr>
          <w:rFonts w:eastAsiaTheme="minorEastAsia" w:cs="Arial"/>
          <w:i/>
          <w:color w:val="000000"/>
          <w:kern w:val="24"/>
        </w:rPr>
        <w:t xml:space="preserve">De regelingen voor toeslagen zijn tegenwoordig erg complex. De Huur- en Zorgtoeslag zijn voor veel burgers een onmisbaar inkomensbestanddeel geworden. Zonder deze toeslagen komen veel burgers niet rond. Belangrijk is wel dat het recht goed is vastgesteld. Toeslagen worden bij voorschot verstrekt op basis van geschatte situaties. Vaak is deze geschatte situatie niet juist (meer) doordat wijzigingen niet of te laat worden doorgegeven. Hierdoor </w:t>
      </w:r>
      <w:r>
        <w:rPr>
          <w:rFonts w:eastAsiaTheme="minorEastAsia" w:cs="Arial"/>
          <w:i/>
          <w:color w:val="000000"/>
          <w:kern w:val="24"/>
        </w:rPr>
        <w:t xml:space="preserve">ontstaan toeslagschulden. </w:t>
      </w:r>
      <w:r w:rsidRPr="00B24369">
        <w:rPr>
          <w:rFonts w:eastAsiaTheme="minorEastAsia" w:cs="Arial"/>
          <w:i/>
          <w:color w:val="000000"/>
          <w:kern w:val="24"/>
        </w:rPr>
        <w:t>H</w:t>
      </w:r>
      <w:r>
        <w:rPr>
          <w:rFonts w:eastAsiaTheme="minorEastAsia" w:cs="Arial"/>
          <w:i/>
          <w:color w:val="000000"/>
          <w:kern w:val="24"/>
        </w:rPr>
        <w:t>et is aan u als</w:t>
      </w:r>
      <w:r w:rsidRPr="00B24369">
        <w:rPr>
          <w:rFonts w:eastAsiaTheme="minorEastAsia" w:cs="Arial"/>
          <w:i/>
          <w:color w:val="000000"/>
          <w:kern w:val="24"/>
        </w:rPr>
        <w:t xml:space="preserve"> professional om na te gaan of </w:t>
      </w:r>
      <w:r>
        <w:rPr>
          <w:rFonts w:eastAsiaTheme="minorEastAsia" w:cs="Arial"/>
          <w:i/>
          <w:color w:val="000000"/>
          <w:kern w:val="24"/>
        </w:rPr>
        <w:t xml:space="preserve">de </w:t>
      </w:r>
      <w:r w:rsidRPr="00B24369">
        <w:rPr>
          <w:rFonts w:eastAsiaTheme="minorEastAsia" w:cs="Arial"/>
          <w:i/>
          <w:color w:val="000000"/>
          <w:kern w:val="24"/>
        </w:rPr>
        <w:t xml:space="preserve">klant </w:t>
      </w:r>
      <w:r>
        <w:rPr>
          <w:rFonts w:eastAsiaTheme="minorEastAsia" w:cs="Arial"/>
          <w:i/>
          <w:color w:val="000000"/>
          <w:kern w:val="24"/>
        </w:rPr>
        <w:t>recht heeft op huur/zorg</w:t>
      </w:r>
      <w:r w:rsidRPr="00B24369">
        <w:rPr>
          <w:rFonts w:eastAsiaTheme="minorEastAsia" w:cs="Arial"/>
          <w:i/>
          <w:color w:val="000000"/>
          <w:kern w:val="24"/>
        </w:rPr>
        <w:t xml:space="preserve">toeslag </w:t>
      </w:r>
      <w:r>
        <w:rPr>
          <w:rFonts w:eastAsiaTheme="minorEastAsia" w:cs="Arial"/>
          <w:i/>
          <w:color w:val="000000"/>
          <w:kern w:val="24"/>
        </w:rPr>
        <w:t xml:space="preserve">en </w:t>
      </w:r>
      <w:r w:rsidRPr="00B24369">
        <w:rPr>
          <w:rFonts w:eastAsiaTheme="minorEastAsia" w:cs="Arial"/>
          <w:i/>
          <w:color w:val="000000"/>
          <w:kern w:val="24"/>
        </w:rPr>
        <w:t xml:space="preserve">of de hoogte </w:t>
      </w:r>
      <w:r>
        <w:rPr>
          <w:rFonts w:eastAsiaTheme="minorEastAsia" w:cs="Arial"/>
          <w:i/>
          <w:color w:val="000000"/>
          <w:kern w:val="24"/>
        </w:rPr>
        <w:t xml:space="preserve">hiervan </w:t>
      </w:r>
      <w:r w:rsidRPr="00B24369">
        <w:rPr>
          <w:rFonts w:eastAsiaTheme="minorEastAsia" w:cs="Arial"/>
          <w:i/>
          <w:color w:val="000000"/>
          <w:kern w:val="24"/>
        </w:rPr>
        <w:t>juist is</w:t>
      </w:r>
      <w:r>
        <w:rPr>
          <w:rFonts w:eastAsiaTheme="minorEastAsia" w:cs="Arial"/>
          <w:i/>
          <w:color w:val="000000"/>
          <w:kern w:val="24"/>
        </w:rPr>
        <w:t xml:space="preserve"> vastgesteld</w:t>
      </w:r>
      <w:r w:rsidRPr="00B24369">
        <w:rPr>
          <w:rFonts w:eastAsiaTheme="minorEastAsia" w:cs="Arial"/>
          <w:i/>
          <w:color w:val="000000"/>
          <w:kern w:val="24"/>
        </w:rPr>
        <w:t xml:space="preserve">. </w:t>
      </w:r>
    </w:p>
    <w:p w:rsidR="00A13175" w:rsidRDefault="00A13175" w:rsidP="00A13175">
      <w:pPr>
        <w:kinsoku w:val="0"/>
        <w:overflowPunct w:val="0"/>
        <w:textAlignment w:val="baseline"/>
        <w:rPr>
          <w:rFonts w:eastAsiaTheme="minorEastAsia" w:cs="Arial"/>
          <w:i/>
          <w:color w:val="000000"/>
          <w:kern w:val="24"/>
        </w:rPr>
      </w:pPr>
      <w:r>
        <w:rPr>
          <w:rFonts w:eastAsiaTheme="minorEastAsia" w:cs="Arial"/>
          <w:i/>
          <w:color w:val="000000"/>
          <w:kern w:val="24"/>
        </w:rPr>
        <w:t>Hoe bereken je de hoogte van de rekenhuur? Hoe hoog mag het inkomen zijn? Is er sprake van een toeslagpartner? Heeft klant een verworven recht? Wat als de klant de terugvordering niet in een keer kan betalen? Mag er wel beslag gelegd worden op de huur/zorgtoeslag?</w:t>
      </w:r>
    </w:p>
    <w:p w:rsidR="00A13175" w:rsidRDefault="00A13175" w:rsidP="00A13175">
      <w:pPr>
        <w:kinsoku w:val="0"/>
        <w:overflowPunct w:val="0"/>
        <w:textAlignment w:val="baseline"/>
        <w:rPr>
          <w:rFonts w:eastAsiaTheme="minorEastAsia" w:cs="Arial"/>
          <w:i/>
          <w:color w:val="000000"/>
          <w:kern w:val="24"/>
        </w:rPr>
      </w:pPr>
      <w:r w:rsidRPr="00C3346B">
        <w:rPr>
          <w:rFonts w:eastAsiaTheme="minorEastAsia" w:cs="Arial"/>
          <w:i/>
          <w:color w:val="000000"/>
          <w:kern w:val="24"/>
        </w:rPr>
        <w:t>Aan de hand van casuïstiek uit de praktijk leren we u om meer inzicht te krijgen in het</w:t>
      </w:r>
      <w:r>
        <w:rPr>
          <w:rFonts w:eastAsiaTheme="minorEastAsia" w:cs="Arial"/>
          <w:i/>
          <w:color w:val="000000"/>
          <w:kern w:val="24"/>
        </w:rPr>
        <w:t xml:space="preserve"> recht op huur- en zorgtoeslag </w:t>
      </w:r>
      <w:r w:rsidRPr="00C3346B">
        <w:rPr>
          <w:rFonts w:eastAsiaTheme="minorEastAsia" w:cs="Arial"/>
          <w:i/>
          <w:color w:val="000000"/>
          <w:kern w:val="24"/>
        </w:rPr>
        <w:t xml:space="preserve">van </w:t>
      </w:r>
      <w:r>
        <w:rPr>
          <w:rFonts w:eastAsiaTheme="minorEastAsia" w:cs="Arial"/>
          <w:i/>
          <w:color w:val="000000"/>
          <w:kern w:val="24"/>
        </w:rPr>
        <w:t>uw klant zodat u die hulp kunt bieden die nodig is.</w:t>
      </w:r>
      <w:r w:rsidRPr="00521006">
        <w:rPr>
          <w:rFonts w:eastAsiaTheme="minorEastAsia" w:cs="Arial"/>
          <w:i/>
          <w:color w:val="000000"/>
          <w:kern w:val="24"/>
        </w:rPr>
        <w:t xml:space="preserve"> </w:t>
      </w:r>
    </w:p>
    <w:p w:rsidR="00A13175" w:rsidRDefault="00A13175" w:rsidP="00A13175">
      <w:pPr>
        <w:kinsoku w:val="0"/>
        <w:overflowPunct w:val="0"/>
        <w:textAlignment w:val="baseline"/>
        <w:rPr>
          <w:rFonts w:eastAsiaTheme="minorEastAsia" w:cs="Arial"/>
          <w:color w:val="000000"/>
          <w:kern w:val="24"/>
        </w:rPr>
      </w:pPr>
    </w:p>
    <w:p w:rsidR="00A13175" w:rsidRPr="00B24369" w:rsidRDefault="00A13175" w:rsidP="00A13175">
      <w:pPr>
        <w:kinsoku w:val="0"/>
        <w:overflowPunct w:val="0"/>
        <w:textAlignment w:val="baseline"/>
        <w:rPr>
          <w:rFonts w:eastAsiaTheme="minorEastAsia" w:cs="Arial"/>
          <w:color w:val="000000"/>
          <w:kern w:val="24"/>
        </w:rPr>
      </w:pPr>
      <w:r>
        <w:rPr>
          <w:rFonts w:eastAsiaTheme="minorEastAsia" w:cs="Arial"/>
          <w:color w:val="000000"/>
          <w:kern w:val="24"/>
        </w:rPr>
        <w:t>Na deze tr</w:t>
      </w:r>
      <w:r w:rsidRPr="00B24369">
        <w:rPr>
          <w:rFonts w:eastAsiaTheme="minorEastAsia" w:cs="Arial"/>
          <w:color w:val="000000"/>
          <w:kern w:val="24"/>
        </w:rPr>
        <w:t>a</w:t>
      </w:r>
      <w:r>
        <w:rPr>
          <w:rFonts w:eastAsiaTheme="minorEastAsia" w:cs="Arial"/>
          <w:color w:val="000000"/>
          <w:kern w:val="24"/>
        </w:rPr>
        <w:t>ining kunt u:</w:t>
      </w:r>
    </w:p>
    <w:p w:rsidR="00A13175" w:rsidRDefault="00A13175" w:rsidP="00A13175">
      <w:pPr>
        <w:pStyle w:val="Lijstalinea"/>
        <w:numPr>
          <w:ilvl w:val="1"/>
          <w:numId w:val="2"/>
        </w:numPr>
        <w:kinsoku w:val="0"/>
        <w:overflowPunct w:val="0"/>
        <w:spacing w:after="0" w:line="240" w:lineRule="auto"/>
        <w:textAlignment w:val="baseline"/>
      </w:pPr>
      <w:r>
        <w:t xml:space="preserve">Uitleg geven over wat huur/zorgtoeslag inhoudt; </w:t>
      </w:r>
    </w:p>
    <w:p w:rsidR="00A13175" w:rsidRDefault="00A13175" w:rsidP="00A13175">
      <w:pPr>
        <w:pStyle w:val="Lijstalinea"/>
        <w:numPr>
          <w:ilvl w:val="1"/>
          <w:numId w:val="2"/>
        </w:numPr>
        <w:kinsoku w:val="0"/>
        <w:overflowPunct w:val="0"/>
        <w:spacing w:after="0" w:line="240" w:lineRule="auto"/>
        <w:textAlignment w:val="baseline"/>
      </w:pPr>
      <w:r>
        <w:t>Uitleg geven aan de hand van de formele vereisten over het recht op huur/zorgtoeslag;</w:t>
      </w:r>
    </w:p>
    <w:p w:rsidR="00A13175" w:rsidRDefault="00A13175" w:rsidP="00A13175">
      <w:pPr>
        <w:pStyle w:val="Lijstalinea"/>
        <w:numPr>
          <w:ilvl w:val="1"/>
          <w:numId w:val="2"/>
        </w:numPr>
        <w:kinsoku w:val="0"/>
        <w:overflowPunct w:val="0"/>
        <w:spacing w:after="0" w:line="240" w:lineRule="auto"/>
        <w:textAlignment w:val="baseline"/>
      </w:pPr>
      <w:r>
        <w:t xml:space="preserve">In een specifieke situatie nagaan of er recht is op huur/zorgtoeslag; </w:t>
      </w:r>
    </w:p>
    <w:p w:rsidR="00A13175" w:rsidRDefault="00A13175" w:rsidP="00A13175">
      <w:pPr>
        <w:pStyle w:val="Lijstalinea"/>
        <w:numPr>
          <w:ilvl w:val="1"/>
          <w:numId w:val="2"/>
        </w:numPr>
        <w:kinsoku w:val="0"/>
        <w:overflowPunct w:val="0"/>
        <w:spacing w:after="0" w:line="240" w:lineRule="auto"/>
        <w:textAlignment w:val="baseline"/>
      </w:pPr>
      <w:r>
        <w:t>De rekenhuur berekenen en herleiden</w:t>
      </w:r>
    </w:p>
    <w:p w:rsidR="00A13175" w:rsidRDefault="00A13175" w:rsidP="00A13175">
      <w:pPr>
        <w:pStyle w:val="Lijstalinea"/>
        <w:numPr>
          <w:ilvl w:val="1"/>
          <w:numId w:val="2"/>
        </w:numPr>
        <w:kinsoku w:val="0"/>
        <w:overflowPunct w:val="0"/>
        <w:spacing w:after="0" w:line="240" w:lineRule="auto"/>
        <w:textAlignment w:val="baseline"/>
      </w:pPr>
      <w:r>
        <w:t>De hoogte  van het verzamelinkomen berekenen en herleiden (bepalen welke inkomsten van wie van toepassing zijn);</w:t>
      </w:r>
    </w:p>
    <w:p w:rsidR="00A13175" w:rsidRDefault="00A13175" w:rsidP="00A13175">
      <w:pPr>
        <w:pStyle w:val="Lijstalinea"/>
        <w:numPr>
          <w:ilvl w:val="1"/>
          <w:numId w:val="2"/>
        </w:numPr>
        <w:kinsoku w:val="0"/>
        <w:overflowPunct w:val="0"/>
        <w:spacing w:after="0" w:line="240" w:lineRule="auto"/>
        <w:textAlignment w:val="baseline"/>
      </w:pPr>
      <w:r>
        <w:t>Uitleg geven over het begrip vermogen voor de huur/zorgtoeslag;</w:t>
      </w:r>
    </w:p>
    <w:p w:rsidR="00A13175" w:rsidRDefault="00A13175" w:rsidP="00A13175">
      <w:pPr>
        <w:pStyle w:val="Lijstalinea"/>
        <w:numPr>
          <w:ilvl w:val="1"/>
          <w:numId w:val="2"/>
        </w:numPr>
        <w:kinsoku w:val="0"/>
        <w:overflowPunct w:val="0"/>
        <w:spacing w:after="0" w:line="240" w:lineRule="auto"/>
        <w:textAlignment w:val="baseline"/>
      </w:pPr>
      <w:r>
        <w:t>De hoogte van de huur/zorgtoeslag berekenen in een specifieke situatie;</w:t>
      </w:r>
    </w:p>
    <w:p w:rsidR="00A13175" w:rsidRDefault="00A13175" w:rsidP="00A13175">
      <w:pPr>
        <w:pStyle w:val="Lijstalinea"/>
        <w:numPr>
          <w:ilvl w:val="1"/>
          <w:numId w:val="2"/>
        </w:numPr>
        <w:kinsoku w:val="0"/>
        <w:overflowPunct w:val="0"/>
        <w:spacing w:after="0" w:line="240" w:lineRule="auto"/>
        <w:textAlignment w:val="baseline"/>
      </w:pPr>
      <w:r>
        <w:t>Uitleg geven over het aanvragen, wijzigen en stopzetten van de huur/zorgtoeslag;</w:t>
      </w:r>
    </w:p>
    <w:p w:rsidR="00A13175" w:rsidRDefault="00A13175" w:rsidP="00A13175">
      <w:pPr>
        <w:pStyle w:val="Lijstalinea"/>
        <w:numPr>
          <w:ilvl w:val="1"/>
          <w:numId w:val="2"/>
        </w:numPr>
        <w:kinsoku w:val="0"/>
        <w:overflowPunct w:val="0"/>
        <w:spacing w:after="0" w:line="240" w:lineRule="auto"/>
        <w:textAlignment w:val="baseline"/>
      </w:pPr>
      <w:r>
        <w:lastRenderedPageBreak/>
        <w:t xml:space="preserve">In een specifiek geval uitleg geven waarom een bezwaar en een verzoek tot herziening tegen een beschikking huur/zorgtoeslag wel of geen kans van slagen heeft; </w:t>
      </w:r>
    </w:p>
    <w:p w:rsidR="00A13175" w:rsidRDefault="00A13175" w:rsidP="00A13175">
      <w:pPr>
        <w:pStyle w:val="Lijstalinea"/>
        <w:numPr>
          <w:ilvl w:val="1"/>
          <w:numId w:val="2"/>
        </w:numPr>
        <w:kinsoku w:val="0"/>
        <w:overflowPunct w:val="0"/>
        <w:spacing w:after="0" w:line="240" w:lineRule="auto"/>
        <w:textAlignment w:val="baseline"/>
      </w:pPr>
      <w:r>
        <w:t>In het algemeen uitleg geven over hoe huur/zorgtoeslag kan worden teruggevorderd.</w:t>
      </w:r>
    </w:p>
    <w:p w:rsidR="00A13175" w:rsidRDefault="00A13175" w:rsidP="00A13175"/>
    <w:p w:rsidR="00A13175" w:rsidRDefault="00A13175" w:rsidP="00A13175">
      <w:pPr>
        <w:kinsoku w:val="0"/>
        <w:overflowPunct w:val="0"/>
        <w:textAlignment w:val="baseline"/>
        <w:rPr>
          <w:rFonts w:eastAsiaTheme="minorEastAsia" w:cs="Arial"/>
          <w:color w:val="000000"/>
          <w:kern w:val="24"/>
        </w:rPr>
      </w:pPr>
      <w:r w:rsidRPr="00B24369">
        <w:rPr>
          <w:rFonts w:eastAsiaTheme="minorEastAsia" w:cs="Arial"/>
          <w:color w:val="000000"/>
          <w:kern w:val="24"/>
        </w:rPr>
        <w:t>Programma:</w:t>
      </w:r>
    </w:p>
    <w:p w:rsidR="00A13175" w:rsidRPr="006F6FA4"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u w:val="single"/>
        </w:rPr>
      </w:pPr>
      <w:proofErr w:type="spellStart"/>
      <w:r w:rsidRPr="006F6FA4">
        <w:rPr>
          <w:rFonts w:eastAsiaTheme="minorEastAsia" w:cs="Arial"/>
          <w:color w:val="000000"/>
          <w:kern w:val="24"/>
          <w:u w:val="single"/>
        </w:rPr>
        <w:t>Awir</w:t>
      </w:r>
      <w:proofErr w:type="spellEnd"/>
      <w:r w:rsidRPr="006F6FA4">
        <w:rPr>
          <w:rFonts w:eastAsiaTheme="minorEastAsia" w:cs="Arial"/>
          <w:color w:val="000000"/>
          <w:kern w:val="24"/>
          <w:u w:val="single"/>
        </w:rPr>
        <w:t xml:space="preserve"> (wettelijk kader)</w:t>
      </w:r>
    </w:p>
    <w:p w:rsidR="00A13175" w:rsidRPr="00D40E7B" w:rsidRDefault="00A13175" w:rsidP="00A13175">
      <w:pPr>
        <w:pStyle w:val="Lijstalinea"/>
        <w:kinsoku w:val="0"/>
        <w:overflowPunct w:val="0"/>
        <w:textAlignment w:val="baseline"/>
        <w:rPr>
          <w:rFonts w:eastAsiaTheme="minorEastAsia" w:cs="Arial"/>
          <w:color w:val="000000"/>
          <w:kern w:val="24"/>
        </w:rPr>
      </w:pPr>
    </w:p>
    <w:p w:rsidR="00A13175" w:rsidRPr="006F6FA4" w:rsidRDefault="00A13175" w:rsidP="00A13175">
      <w:pPr>
        <w:pStyle w:val="Lijstalinea"/>
        <w:kinsoku w:val="0"/>
        <w:overflowPunct w:val="0"/>
        <w:textAlignment w:val="baseline"/>
        <w:rPr>
          <w:rFonts w:eastAsiaTheme="minorEastAsia" w:cs="Arial"/>
          <w:color w:val="000000"/>
          <w:kern w:val="24"/>
          <w:u w:val="single"/>
        </w:rPr>
      </w:pPr>
      <w:r w:rsidRPr="006F6FA4">
        <w:rPr>
          <w:rFonts w:eastAsiaTheme="minorEastAsia" w:cs="Arial"/>
          <w:color w:val="000000"/>
          <w:kern w:val="24"/>
          <w:u w:val="single"/>
        </w:rPr>
        <w:t>Huurtoeslag</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B24369">
        <w:rPr>
          <w:rFonts w:eastAsiaTheme="minorEastAsia" w:cs="Arial"/>
          <w:color w:val="000000"/>
          <w:kern w:val="24"/>
        </w:rPr>
        <w:t>Wat is huurtoeslag?</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B24369">
        <w:rPr>
          <w:rFonts w:eastAsiaTheme="minorEastAsia" w:cs="Arial"/>
          <w:color w:val="000000"/>
          <w:kern w:val="24"/>
        </w:rPr>
        <w:t xml:space="preserve">Basisvoorwaarden </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Pr>
          <w:rFonts w:eastAsiaTheme="minorEastAsia" w:cs="Arial"/>
          <w:color w:val="000000"/>
          <w:kern w:val="24"/>
        </w:rPr>
        <w:t>Wanneer is er recht? (</w:t>
      </w:r>
      <w:r w:rsidRPr="00B24369">
        <w:rPr>
          <w:rFonts w:eastAsiaTheme="minorEastAsia" w:cs="Arial"/>
          <w:color w:val="000000"/>
          <w:kern w:val="24"/>
        </w:rPr>
        <w:t>voorwaarden, hoogte huur, hoogte inkomen en hoogte vermogen) verder uitgewerkt:</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B24369">
        <w:rPr>
          <w:rFonts w:eastAsiaTheme="minorEastAsia" w:cs="Arial"/>
          <w:color w:val="000000"/>
          <w:kern w:val="24"/>
        </w:rPr>
        <w:t xml:space="preserve">Rekenhuur (hoogte, hoe te berekenen, bijzondere situaties </w:t>
      </w:r>
      <w:r w:rsidRPr="00B24369">
        <w:rPr>
          <w:rFonts w:eastAsiaTheme="minorEastAsia" w:cs="Arial"/>
          <w:color w:val="000000"/>
          <w:kern w:val="24"/>
        </w:rPr>
        <w:sym w:font="Wingdings" w:char="F0E0"/>
      </w:r>
      <w:r w:rsidRPr="00B24369">
        <w:rPr>
          <w:rFonts w:eastAsiaTheme="minorEastAsia" w:cs="Arial"/>
          <w:color w:val="000000"/>
          <w:kern w:val="24"/>
        </w:rPr>
        <w:t>zoals verworven recht)</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B24369">
        <w:rPr>
          <w:rFonts w:eastAsiaTheme="minorEastAsia" w:cs="Arial"/>
          <w:color w:val="000000"/>
          <w:kern w:val="24"/>
        </w:rPr>
        <w:t>Inkomen (inkomensgrenzen, wiens inkomen</w:t>
      </w:r>
      <w:r w:rsidRPr="00B24369">
        <w:rPr>
          <w:rFonts w:eastAsiaTheme="minorEastAsia" w:cs="Arial"/>
          <w:color w:val="000000"/>
          <w:kern w:val="24"/>
        </w:rPr>
        <w:sym w:font="Wingdings" w:char="F0E0"/>
      </w:r>
      <w:r w:rsidRPr="00B24369">
        <w:rPr>
          <w:rFonts w:eastAsiaTheme="minorEastAsia" w:cs="Arial"/>
          <w:color w:val="000000"/>
          <w:kern w:val="24"/>
        </w:rPr>
        <w:t xml:space="preserve"> begrip toeslagpartner, medebewoner, hoe schat je een inkomen, bijzondere situaties)</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B24369">
        <w:rPr>
          <w:rFonts w:eastAsiaTheme="minorEastAsia" w:cs="Arial"/>
          <w:color w:val="000000"/>
          <w:kern w:val="24"/>
        </w:rPr>
        <w:t>Vermogen (begrip, hoogte, bijzondere situaties)</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B24369">
        <w:rPr>
          <w:rFonts w:eastAsiaTheme="minorEastAsia" w:cs="Arial"/>
          <w:color w:val="000000"/>
          <w:kern w:val="24"/>
        </w:rPr>
        <w:t>Hoogte Huurtoesla</w:t>
      </w:r>
      <w:r>
        <w:rPr>
          <w:rFonts w:eastAsiaTheme="minorEastAsia" w:cs="Arial"/>
          <w:color w:val="000000"/>
          <w:kern w:val="24"/>
        </w:rPr>
        <w:t>g (proefberekening/</w:t>
      </w:r>
      <w:r w:rsidRPr="00B24369">
        <w:rPr>
          <w:rFonts w:eastAsiaTheme="minorEastAsia" w:cs="Arial"/>
          <w:color w:val="000000"/>
          <w:kern w:val="24"/>
        </w:rPr>
        <w:t>handmatig)</w:t>
      </w:r>
    </w:p>
    <w:p w:rsidR="00A13175" w:rsidRPr="00B24369" w:rsidRDefault="00A13175" w:rsidP="00A13175">
      <w:pPr>
        <w:pStyle w:val="Lijstalinea"/>
        <w:kinsoku w:val="0"/>
        <w:overflowPunct w:val="0"/>
        <w:textAlignment w:val="baseline"/>
        <w:rPr>
          <w:rFonts w:eastAsiaTheme="minorEastAsia" w:cs="Arial"/>
          <w:b/>
          <w:color w:val="000000"/>
          <w:kern w:val="24"/>
        </w:rPr>
      </w:pPr>
    </w:p>
    <w:p w:rsidR="00A13175" w:rsidRPr="006F6FA4" w:rsidRDefault="00A13175" w:rsidP="00A13175">
      <w:pPr>
        <w:pStyle w:val="Lijstalinea"/>
        <w:kinsoku w:val="0"/>
        <w:overflowPunct w:val="0"/>
        <w:textAlignment w:val="baseline"/>
        <w:rPr>
          <w:rFonts w:eastAsiaTheme="minorEastAsia" w:cs="Arial"/>
          <w:color w:val="000000"/>
          <w:kern w:val="24"/>
          <w:u w:val="single"/>
        </w:rPr>
      </w:pPr>
      <w:r w:rsidRPr="006F6FA4">
        <w:rPr>
          <w:rFonts w:eastAsiaTheme="minorEastAsia" w:cs="Arial"/>
          <w:color w:val="000000"/>
          <w:kern w:val="24"/>
          <w:u w:val="single"/>
        </w:rPr>
        <w:t>Zorgtoeslag</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Wat is zorgtoeslag?</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Pr>
          <w:rFonts w:eastAsiaTheme="minorEastAsia" w:cs="Arial"/>
          <w:color w:val="000000"/>
          <w:kern w:val="24"/>
        </w:rPr>
        <w:t xml:space="preserve">Basisvoorwaarden </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Pr>
          <w:rFonts w:eastAsiaTheme="minorEastAsia" w:cs="Arial"/>
          <w:color w:val="000000"/>
          <w:kern w:val="24"/>
        </w:rPr>
        <w:t>Wanneer is er recht? (</w:t>
      </w:r>
      <w:r w:rsidRPr="00D40E7B">
        <w:rPr>
          <w:rFonts w:eastAsiaTheme="minorEastAsia" w:cs="Arial"/>
          <w:color w:val="000000"/>
          <w:kern w:val="24"/>
        </w:rPr>
        <w:t>voorwaarden, hoogte inkomen en hoo</w:t>
      </w:r>
      <w:r>
        <w:rPr>
          <w:rFonts w:eastAsiaTheme="minorEastAsia" w:cs="Arial"/>
          <w:color w:val="000000"/>
          <w:kern w:val="24"/>
        </w:rPr>
        <w:t>gte vermogen) verder uitgewerkt</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Inkomen</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Vermogen</w:t>
      </w:r>
    </w:p>
    <w:p w:rsidR="00A13175" w:rsidRDefault="00A13175" w:rsidP="00A13175">
      <w:pPr>
        <w:pStyle w:val="Lijstalinea"/>
        <w:kinsoku w:val="0"/>
        <w:overflowPunct w:val="0"/>
        <w:textAlignment w:val="baseline"/>
        <w:rPr>
          <w:rFonts w:eastAsiaTheme="minorEastAsia" w:cs="Arial"/>
          <w:color w:val="000000"/>
          <w:kern w:val="24"/>
        </w:rPr>
      </w:pPr>
    </w:p>
    <w:p w:rsidR="00A13175" w:rsidRPr="006F6FA4" w:rsidRDefault="00A13175" w:rsidP="00A13175">
      <w:pPr>
        <w:pStyle w:val="Lijstalinea"/>
        <w:kinsoku w:val="0"/>
        <w:overflowPunct w:val="0"/>
        <w:textAlignment w:val="baseline"/>
        <w:rPr>
          <w:rFonts w:eastAsiaTheme="minorEastAsia" w:cs="Arial"/>
          <w:color w:val="000000"/>
          <w:kern w:val="24"/>
          <w:u w:val="single"/>
        </w:rPr>
      </w:pPr>
      <w:proofErr w:type="spellStart"/>
      <w:r w:rsidRPr="006F6FA4">
        <w:rPr>
          <w:rFonts w:eastAsiaTheme="minorEastAsia" w:cs="Arial"/>
          <w:color w:val="000000"/>
          <w:kern w:val="24"/>
          <w:u w:val="single"/>
        </w:rPr>
        <w:t>Awir</w:t>
      </w:r>
      <w:proofErr w:type="spellEnd"/>
      <w:r w:rsidRPr="006F6FA4">
        <w:rPr>
          <w:rFonts w:eastAsiaTheme="minorEastAsia" w:cs="Arial"/>
          <w:color w:val="000000"/>
          <w:kern w:val="24"/>
          <w:u w:val="single"/>
        </w:rPr>
        <w:t xml:space="preserve"> vervolg:</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Toeslagen aanvragen, wijzigen, stopzetten</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Uitbetalen</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Beschikkingen</w:t>
      </w:r>
    </w:p>
    <w:p w:rsidR="00A13175" w:rsidRPr="00D40E7B"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Bezwaar en herziening</w:t>
      </w:r>
    </w:p>
    <w:p w:rsidR="00A13175" w:rsidRPr="00B24369" w:rsidRDefault="00A13175" w:rsidP="00A13175">
      <w:pPr>
        <w:pStyle w:val="Lijstalinea"/>
        <w:numPr>
          <w:ilvl w:val="0"/>
          <w:numId w:val="5"/>
        </w:numPr>
        <w:kinsoku w:val="0"/>
        <w:overflowPunct w:val="0"/>
        <w:spacing w:after="0" w:line="240" w:lineRule="auto"/>
        <w:textAlignment w:val="baseline"/>
        <w:rPr>
          <w:rFonts w:eastAsiaTheme="minorEastAsia" w:cs="Arial"/>
          <w:color w:val="000000"/>
          <w:kern w:val="24"/>
        </w:rPr>
      </w:pPr>
      <w:r w:rsidRPr="00D40E7B">
        <w:rPr>
          <w:rFonts w:eastAsiaTheme="minorEastAsia" w:cs="Arial"/>
          <w:color w:val="000000"/>
          <w:kern w:val="24"/>
        </w:rPr>
        <w:t>Terugvordering, verrekening</w:t>
      </w:r>
      <w:r w:rsidRPr="00B24369">
        <w:rPr>
          <w:rFonts w:eastAsiaTheme="minorEastAsia" w:cs="Arial"/>
          <w:color w:val="000000"/>
          <w:kern w:val="24"/>
        </w:rPr>
        <w:t xml:space="preserve"> en beslag</w:t>
      </w:r>
    </w:p>
    <w:p w:rsidR="00A13175" w:rsidRDefault="00A13175" w:rsidP="00A13175">
      <w:pPr>
        <w:pStyle w:val="Lijstalinea"/>
        <w:kinsoku w:val="0"/>
        <w:overflowPunct w:val="0"/>
        <w:textAlignment w:val="baseline"/>
        <w:rPr>
          <w:rFonts w:eastAsiaTheme="minorEastAsia" w:cs="Arial"/>
          <w:color w:val="000000"/>
          <w:kern w:val="24"/>
        </w:rPr>
      </w:pPr>
    </w:p>
    <w:p w:rsidR="00A13175" w:rsidRDefault="00A13175" w:rsidP="00A13175">
      <w:pPr>
        <w:pStyle w:val="Lijstalinea"/>
        <w:kinsoku w:val="0"/>
        <w:overflowPunct w:val="0"/>
        <w:textAlignment w:val="baseline"/>
        <w:rPr>
          <w:rFonts w:eastAsiaTheme="minorEastAsia" w:cs="Arial"/>
          <w:color w:val="000000"/>
          <w:kern w:val="24"/>
        </w:rPr>
      </w:pPr>
    </w:p>
    <w:p w:rsidR="00A13175" w:rsidRDefault="00A13175" w:rsidP="00A13175"/>
    <w:p w:rsidR="00CA7128" w:rsidRDefault="00CA7128" w:rsidP="00CA7128">
      <w:pPr>
        <w:pStyle w:val="Lijstalinea"/>
      </w:pPr>
    </w:p>
    <w:p w:rsidR="00B8015C" w:rsidRDefault="00B8015C" w:rsidP="00B8015C">
      <w:pPr>
        <w:pStyle w:val="Lijstalinea"/>
        <w:numPr>
          <w:ilvl w:val="0"/>
          <w:numId w:val="1"/>
        </w:numPr>
      </w:pPr>
      <w:r>
        <w:t xml:space="preserve">Niveau: </w:t>
      </w:r>
      <w:r w:rsidR="00CA7128">
        <w:t>hbo met cijfermatig inzicht</w:t>
      </w:r>
    </w:p>
    <w:p w:rsidR="00CA7128" w:rsidRDefault="00CA7128" w:rsidP="00B8015C">
      <w:pPr>
        <w:pStyle w:val="Lijstalinea"/>
        <w:numPr>
          <w:ilvl w:val="0"/>
          <w:numId w:val="1"/>
        </w:numPr>
      </w:pPr>
      <w:r>
        <w:t xml:space="preserve">Aantal uren van aanbod: </w:t>
      </w:r>
      <w:r w:rsidR="00784224">
        <w:t xml:space="preserve">7 uur: </w:t>
      </w:r>
      <w:r>
        <w:t xml:space="preserve">hele dag </w:t>
      </w:r>
      <w:r w:rsidR="00BD6E32">
        <w:t xml:space="preserve">9.30 -16.30 uur </w:t>
      </w:r>
      <w:r>
        <w:t xml:space="preserve">met veel casuïstiek uit de raadsliedenpraktijk. </w:t>
      </w:r>
    </w:p>
    <w:p w:rsidR="00B8015C" w:rsidRDefault="00B8015C" w:rsidP="00B8015C">
      <w:pPr>
        <w:pStyle w:val="Lijstalinea"/>
        <w:numPr>
          <w:ilvl w:val="0"/>
          <w:numId w:val="1"/>
        </w:numPr>
      </w:pPr>
      <w:r>
        <w:t>Kosten:</w:t>
      </w:r>
      <w:r w:rsidR="00BD6E32">
        <w:t xml:space="preserve"> In company € 1.750,- excl. btw (12 deelnemers). Open inschrijving gaat via </w:t>
      </w:r>
      <w:proofErr w:type="spellStart"/>
      <w:r w:rsidR="00BD6E32">
        <w:t>Asessor</w:t>
      </w:r>
      <w:proofErr w:type="spellEnd"/>
      <w:r w:rsidR="00BD6E32">
        <w:t xml:space="preserve"> €390,- excl. btw </w:t>
      </w:r>
    </w:p>
    <w:p w:rsidR="00B8015C" w:rsidRDefault="00B8015C" w:rsidP="00B8015C">
      <w:pPr>
        <w:pStyle w:val="Lijstalinea"/>
        <w:numPr>
          <w:ilvl w:val="0"/>
          <w:numId w:val="1"/>
        </w:numPr>
      </w:pPr>
      <w:r>
        <w:t xml:space="preserve">CV van aanbieder(s): </w:t>
      </w:r>
      <w:r w:rsidR="00BD6E32">
        <w:t>zie bijlage</w:t>
      </w:r>
    </w:p>
    <w:sectPr w:rsidR="00B80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D69"/>
    <w:multiLevelType w:val="hybridMultilevel"/>
    <w:tmpl w:val="BCB60A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23E8C562">
      <w:start w:val="9"/>
      <w:numFmt w:val="bullet"/>
      <w:lvlText w:val="-"/>
      <w:lvlJc w:val="left"/>
      <w:pPr>
        <w:ind w:left="2160" w:hanging="360"/>
      </w:pPr>
      <w:rPr>
        <w:rFonts w:ascii="Calibri" w:eastAsiaTheme="minorEastAsia" w:hAnsi="Calibri"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E10B5B"/>
    <w:multiLevelType w:val="hybridMultilevel"/>
    <w:tmpl w:val="F4AAB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5B523F"/>
    <w:multiLevelType w:val="hybridMultilevel"/>
    <w:tmpl w:val="1C36A554"/>
    <w:lvl w:ilvl="0" w:tplc="04130001">
      <w:start w:val="1"/>
      <w:numFmt w:val="bullet"/>
      <w:lvlText w:val=""/>
      <w:lvlJc w:val="left"/>
      <w:pPr>
        <w:tabs>
          <w:tab w:val="num" w:pos="720"/>
        </w:tabs>
        <w:ind w:left="720" w:hanging="360"/>
      </w:pPr>
      <w:rPr>
        <w:rFonts w:ascii="Symbol" w:hAnsi="Symbol" w:hint="default"/>
      </w:rPr>
    </w:lvl>
    <w:lvl w:ilvl="1" w:tplc="87425F86" w:tentative="1">
      <w:start w:val="1"/>
      <w:numFmt w:val="decimal"/>
      <w:lvlText w:val="%2."/>
      <w:lvlJc w:val="left"/>
      <w:pPr>
        <w:tabs>
          <w:tab w:val="num" w:pos="1440"/>
        </w:tabs>
        <w:ind w:left="1440" w:hanging="360"/>
      </w:pPr>
    </w:lvl>
    <w:lvl w:ilvl="2" w:tplc="03703AFC" w:tentative="1">
      <w:start w:val="1"/>
      <w:numFmt w:val="decimal"/>
      <w:lvlText w:val="%3."/>
      <w:lvlJc w:val="left"/>
      <w:pPr>
        <w:tabs>
          <w:tab w:val="num" w:pos="2160"/>
        </w:tabs>
        <w:ind w:left="2160" w:hanging="360"/>
      </w:pPr>
    </w:lvl>
    <w:lvl w:ilvl="3" w:tplc="332EB5BE" w:tentative="1">
      <w:start w:val="1"/>
      <w:numFmt w:val="decimal"/>
      <w:lvlText w:val="%4."/>
      <w:lvlJc w:val="left"/>
      <w:pPr>
        <w:tabs>
          <w:tab w:val="num" w:pos="2880"/>
        </w:tabs>
        <w:ind w:left="2880" w:hanging="360"/>
      </w:pPr>
    </w:lvl>
    <w:lvl w:ilvl="4" w:tplc="D72681F6" w:tentative="1">
      <w:start w:val="1"/>
      <w:numFmt w:val="decimal"/>
      <w:lvlText w:val="%5."/>
      <w:lvlJc w:val="left"/>
      <w:pPr>
        <w:tabs>
          <w:tab w:val="num" w:pos="3600"/>
        </w:tabs>
        <w:ind w:left="3600" w:hanging="360"/>
      </w:pPr>
    </w:lvl>
    <w:lvl w:ilvl="5" w:tplc="1B004B9E" w:tentative="1">
      <w:start w:val="1"/>
      <w:numFmt w:val="decimal"/>
      <w:lvlText w:val="%6."/>
      <w:lvlJc w:val="left"/>
      <w:pPr>
        <w:tabs>
          <w:tab w:val="num" w:pos="4320"/>
        </w:tabs>
        <w:ind w:left="4320" w:hanging="360"/>
      </w:pPr>
    </w:lvl>
    <w:lvl w:ilvl="6" w:tplc="6BFE7228" w:tentative="1">
      <w:start w:val="1"/>
      <w:numFmt w:val="decimal"/>
      <w:lvlText w:val="%7."/>
      <w:lvlJc w:val="left"/>
      <w:pPr>
        <w:tabs>
          <w:tab w:val="num" w:pos="5040"/>
        </w:tabs>
        <w:ind w:left="5040" w:hanging="360"/>
      </w:pPr>
    </w:lvl>
    <w:lvl w:ilvl="7" w:tplc="C0F88A52" w:tentative="1">
      <w:start w:val="1"/>
      <w:numFmt w:val="decimal"/>
      <w:lvlText w:val="%8."/>
      <w:lvlJc w:val="left"/>
      <w:pPr>
        <w:tabs>
          <w:tab w:val="num" w:pos="5760"/>
        </w:tabs>
        <w:ind w:left="5760" w:hanging="360"/>
      </w:pPr>
    </w:lvl>
    <w:lvl w:ilvl="8" w:tplc="FFF06604" w:tentative="1">
      <w:start w:val="1"/>
      <w:numFmt w:val="decimal"/>
      <w:lvlText w:val="%9."/>
      <w:lvlJc w:val="left"/>
      <w:pPr>
        <w:tabs>
          <w:tab w:val="num" w:pos="6480"/>
        </w:tabs>
        <w:ind w:left="6480" w:hanging="360"/>
      </w:pPr>
    </w:lvl>
  </w:abstractNum>
  <w:abstractNum w:abstractNumId="3" w15:restartNumberingAfterBreak="0">
    <w:nsid w:val="53F80D13"/>
    <w:multiLevelType w:val="hybridMultilevel"/>
    <w:tmpl w:val="9B86F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A41F38"/>
    <w:multiLevelType w:val="hybridMultilevel"/>
    <w:tmpl w:val="0B4E2B64"/>
    <w:lvl w:ilvl="0" w:tplc="06F8D680">
      <w:start w:val="1"/>
      <w:numFmt w:val="decimal"/>
      <w:lvlText w:val="%1."/>
      <w:lvlJc w:val="left"/>
      <w:pPr>
        <w:tabs>
          <w:tab w:val="num" w:pos="720"/>
        </w:tabs>
        <w:ind w:left="720" w:hanging="360"/>
      </w:pPr>
    </w:lvl>
    <w:lvl w:ilvl="1" w:tplc="87425F86" w:tentative="1">
      <w:start w:val="1"/>
      <w:numFmt w:val="decimal"/>
      <w:lvlText w:val="%2."/>
      <w:lvlJc w:val="left"/>
      <w:pPr>
        <w:tabs>
          <w:tab w:val="num" w:pos="1440"/>
        </w:tabs>
        <w:ind w:left="1440" w:hanging="360"/>
      </w:pPr>
    </w:lvl>
    <w:lvl w:ilvl="2" w:tplc="03703AFC" w:tentative="1">
      <w:start w:val="1"/>
      <w:numFmt w:val="decimal"/>
      <w:lvlText w:val="%3."/>
      <w:lvlJc w:val="left"/>
      <w:pPr>
        <w:tabs>
          <w:tab w:val="num" w:pos="2160"/>
        </w:tabs>
        <w:ind w:left="2160" w:hanging="360"/>
      </w:pPr>
    </w:lvl>
    <w:lvl w:ilvl="3" w:tplc="332EB5BE" w:tentative="1">
      <w:start w:val="1"/>
      <w:numFmt w:val="decimal"/>
      <w:lvlText w:val="%4."/>
      <w:lvlJc w:val="left"/>
      <w:pPr>
        <w:tabs>
          <w:tab w:val="num" w:pos="2880"/>
        </w:tabs>
        <w:ind w:left="2880" w:hanging="360"/>
      </w:pPr>
    </w:lvl>
    <w:lvl w:ilvl="4" w:tplc="D72681F6" w:tentative="1">
      <w:start w:val="1"/>
      <w:numFmt w:val="decimal"/>
      <w:lvlText w:val="%5."/>
      <w:lvlJc w:val="left"/>
      <w:pPr>
        <w:tabs>
          <w:tab w:val="num" w:pos="3600"/>
        </w:tabs>
        <w:ind w:left="3600" w:hanging="360"/>
      </w:pPr>
    </w:lvl>
    <w:lvl w:ilvl="5" w:tplc="1B004B9E" w:tentative="1">
      <w:start w:val="1"/>
      <w:numFmt w:val="decimal"/>
      <w:lvlText w:val="%6."/>
      <w:lvlJc w:val="left"/>
      <w:pPr>
        <w:tabs>
          <w:tab w:val="num" w:pos="4320"/>
        </w:tabs>
        <w:ind w:left="4320" w:hanging="360"/>
      </w:pPr>
    </w:lvl>
    <w:lvl w:ilvl="6" w:tplc="6BFE7228" w:tentative="1">
      <w:start w:val="1"/>
      <w:numFmt w:val="decimal"/>
      <w:lvlText w:val="%7."/>
      <w:lvlJc w:val="left"/>
      <w:pPr>
        <w:tabs>
          <w:tab w:val="num" w:pos="5040"/>
        </w:tabs>
        <w:ind w:left="5040" w:hanging="360"/>
      </w:pPr>
    </w:lvl>
    <w:lvl w:ilvl="7" w:tplc="C0F88A52" w:tentative="1">
      <w:start w:val="1"/>
      <w:numFmt w:val="decimal"/>
      <w:lvlText w:val="%8."/>
      <w:lvlJc w:val="left"/>
      <w:pPr>
        <w:tabs>
          <w:tab w:val="num" w:pos="5760"/>
        </w:tabs>
        <w:ind w:left="5760" w:hanging="360"/>
      </w:pPr>
    </w:lvl>
    <w:lvl w:ilvl="8" w:tplc="FFF06604"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5C"/>
    <w:rsid w:val="00032B11"/>
    <w:rsid w:val="007716A0"/>
    <w:rsid w:val="00784224"/>
    <w:rsid w:val="00A04EEE"/>
    <w:rsid w:val="00A13175"/>
    <w:rsid w:val="00B8015C"/>
    <w:rsid w:val="00BD6E32"/>
    <w:rsid w:val="00C16AA4"/>
    <w:rsid w:val="00CA7128"/>
    <w:rsid w:val="00F03F2D"/>
    <w:rsid w:val="00FB1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17843-2F8A-4A7A-92A5-8C112B91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15C"/>
    <w:pPr>
      <w:ind w:left="720"/>
      <w:contextualSpacing/>
    </w:pPr>
  </w:style>
  <w:style w:type="paragraph" w:styleId="Ballontekst">
    <w:name w:val="Balloon Text"/>
    <w:basedOn w:val="Standaard"/>
    <w:link w:val="BallontekstChar"/>
    <w:uiPriority w:val="99"/>
    <w:semiHidden/>
    <w:unhideWhenUsed/>
    <w:rsid w:val="00CA71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2</cp:revision>
  <cp:lastPrinted>2019-01-23T12:24:00Z</cp:lastPrinted>
  <dcterms:created xsi:type="dcterms:W3CDTF">2019-01-31T15:43:00Z</dcterms:created>
  <dcterms:modified xsi:type="dcterms:W3CDTF">2019-01-31T15:43:00Z</dcterms:modified>
</cp:coreProperties>
</file>