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892" w:rsidRPr="007053E4" w:rsidRDefault="00494892" w:rsidP="00494892">
      <w:pPr>
        <w:rPr>
          <w:szCs w:val="18"/>
        </w:rPr>
      </w:pPr>
      <w:bookmarkStart w:id="0" w:name="_GoBack"/>
      <w:bookmarkEnd w:id="0"/>
    </w:p>
    <w:tbl>
      <w:tblPr>
        <w:tblStyle w:val="Tabelraster"/>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9"/>
        <w:gridCol w:w="6571"/>
      </w:tblGrid>
      <w:tr w:rsidR="00494892" w:rsidRPr="00434042" w:rsidTr="007D5115">
        <w:trPr>
          <w:trHeight w:hRule="exact" w:val="289"/>
        </w:trPr>
        <w:tc>
          <w:tcPr>
            <w:tcW w:w="929" w:type="dxa"/>
          </w:tcPr>
          <w:p w:rsidR="00494892" w:rsidRDefault="00494892" w:rsidP="007D5115">
            <w:pPr>
              <w:rPr>
                <w:szCs w:val="18"/>
              </w:rPr>
            </w:pPr>
            <w:r>
              <w:rPr>
                <w:szCs w:val="18"/>
              </w:rPr>
              <w:t>Datum</w:t>
            </w:r>
          </w:p>
          <w:p w:rsidR="00494892" w:rsidRPr="00434042" w:rsidRDefault="00494892" w:rsidP="007D5115">
            <w:r>
              <w:rPr>
                <w:szCs w:val="18"/>
              </w:rPr>
              <w:t>36Datum</w:t>
            </w:r>
          </w:p>
        </w:tc>
        <w:tc>
          <w:tcPr>
            <w:tcW w:w="6571" w:type="dxa"/>
          </w:tcPr>
          <w:p w:rsidR="00494892" w:rsidRPr="00434042" w:rsidRDefault="00A27D73" w:rsidP="007D5115">
            <w:r>
              <w:t>26 april 2018</w:t>
            </w:r>
          </w:p>
        </w:tc>
      </w:tr>
      <w:tr w:rsidR="00494892" w:rsidRPr="00434042" w:rsidTr="007D5115">
        <w:trPr>
          <w:trHeight w:val="368"/>
        </w:trPr>
        <w:tc>
          <w:tcPr>
            <w:tcW w:w="929" w:type="dxa"/>
          </w:tcPr>
          <w:p w:rsidR="00494892" w:rsidRDefault="00494892" w:rsidP="007D5115">
            <w:r>
              <w:rPr>
                <w:szCs w:val="18"/>
              </w:rPr>
              <w:t>Betreft</w:t>
            </w:r>
          </w:p>
        </w:tc>
        <w:tc>
          <w:tcPr>
            <w:tcW w:w="6571" w:type="dxa"/>
          </w:tcPr>
          <w:p w:rsidR="00494892" w:rsidRDefault="00494892" w:rsidP="007D5115">
            <w:r>
              <w:t>Nieuwe verdeling middelen onderwijskansenbeleid scholen en gemeenten</w:t>
            </w:r>
          </w:p>
        </w:tc>
      </w:tr>
    </w:tbl>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494892" w:rsidTr="007D5115">
        <w:trPr>
          <w:trHeight w:val="1514"/>
        </w:trPr>
        <w:tc>
          <w:tcPr>
            <w:tcW w:w="7522" w:type="dxa"/>
            <w:tcBorders>
              <w:top w:val="nil"/>
              <w:left w:val="nil"/>
              <w:bottom w:val="nil"/>
              <w:right w:val="nil"/>
            </w:tcBorders>
            <w:tcMar>
              <w:left w:w="0" w:type="dxa"/>
              <w:right w:w="0" w:type="dxa"/>
            </w:tcMar>
          </w:tcPr>
          <w:p w:rsidR="00494892" w:rsidRDefault="00494892" w:rsidP="007D5115">
            <w:r>
              <w:t>De Voorzitter van de Tweede Kamer der Staten-Generaal</w:t>
            </w:r>
          </w:p>
          <w:p w:rsidR="00494892" w:rsidRDefault="00494892" w:rsidP="007D5115">
            <w:r>
              <w:t>Postbus 20018</w:t>
            </w:r>
          </w:p>
          <w:p w:rsidR="00494892" w:rsidRDefault="00494892" w:rsidP="007D5115">
            <w:r>
              <w:t>2500 EA Den Haag</w:t>
            </w:r>
          </w:p>
          <w:p w:rsidR="00494892" w:rsidRDefault="00494892" w:rsidP="007D5115">
            <w:r w:rsidRPr="00B0663B">
              <w:rPr>
                <w:color w:val="FFFFFF"/>
              </w:rPr>
              <w:t>..</w:t>
            </w:r>
          </w:p>
        </w:tc>
      </w:tr>
    </w:tbl>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494892" w:rsidRPr="00A0120E" w:rsidTr="007D5115">
        <w:tc>
          <w:tcPr>
            <w:tcW w:w="2160" w:type="dxa"/>
          </w:tcPr>
          <w:p w:rsidR="00494892" w:rsidRPr="004E6BCF" w:rsidRDefault="00494892" w:rsidP="007D5115">
            <w:pPr>
              <w:rPr>
                <w:b/>
                <w:sz w:val="13"/>
                <w:szCs w:val="13"/>
              </w:rPr>
            </w:pPr>
            <w:r>
              <w:rPr>
                <w:b/>
                <w:sz w:val="13"/>
                <w:szCs w:val="13"/>
              </w:rPr>
              <w:t>Primair Onderwijs</w:t>
            </w:r>
          </w:p>
          <w:p w:rsidR="00494892" w:rsidRDefault="00494892" w:rsidP="007D5115">
            <w:pPr>
              <w:pStyle w:val="Huisstijl-Gegeven"/>
              <w:spacing w:after="0"/>
              <w:rPr>
                <w:noProof w:val="0"/>
              </w:rPr>
            </w:pPr>
            <w:r>
              <w:rPr>
                <w:noProof w:val="0"/>
              </w:rPr>
              <w:t xml:space="preserve">Rijnstraat 50 </w:t>
            </w:r>
          </w:p>
          <w:p w:rsidR="00494892" w:rsidRDefault="00494892" w:rsidP="007D5115">
            <w:pPr>
              <w:pStyle w:val="Huisstijl-Gegeven"/>
              <w:spacing w:after="0"/>
              <w:rPr>
                <w:noProof w:val="0"/>
              </w:rPr>
            </w:pPr>
            <w:r>
              <w:rPr>
                <w:noProof w:val="0"/>
              </w:rPr>
              <w:t>Den Haag</w:t>
            </w:r>
          </w:p>
          <w:p w:rsidR="00494892" w:rsidRDefault="00494892" w:rsidP="007D5115">
            <w:pPr>
              <w:pStyle w:val="Huisstijl-Gegeven"/>
              <w:spacing w:after="0"/>
              <w:rPr>
                <w:noProof w:val="0"/>
              </w:rPr>
            </w:pPr>
            <w:r>
              <w:rPr>
                <w:noProof w:val="0"/>
              </w:rPr>
              <w:t>Postbus 16375</w:t>
            </w:r>
          </w:p>
          <w:p w:rsidR="00494892" w:rsidRPr="00A0120E" w:rsidRDefault="00494892" w:rsidP="007D5115">
            <w:pPr>
              <w:pStyle w:val="Huisstijl-Gegeven"/>
              <w:spacing w:after="0"/>
              <w:rPr>
                <w:noProof w:val="0"/>
                <w:lang w:val="de-DE"/>
              </w:rPr>
            </w:pPr>
            <w:r w:rsidRPr="00A0120E">
              <w:rPr>
                <w:noProof w:val="0"/>
                <w:lang w:val="de-DE"/>
              </w:rPr>
              <w:t>2500 BJ Den Haag</w:t>
            </w:r>
          </w:p>
          <w:p w:rsidR="00494892" w:rsidRPr="00A0120E" w:rsidRDefault="00494892" w:rsidP="007D5115">
            <w:pPr>
              <w:pStyle w:val="Huisstijl-Gegeven"/>
              <w:spacing w:after="90"/>
              <w:rPr>
                <w:noProof w:val="0"/>
                <w:szCs w:val="13"/>
                <w:lang w:val="de-DE"/>
              </w:rPr>
            </w:pPr>
            <w:r w:rsidRPr="00A0120E">
              <w:rPr>
                <w:noProof w:val="0"/>
                <w:lang w:val="de-DE"/>
              </w:rPr>
              <w:t>www.rijksoverheid.nl</w:t>
            </w:r>
          </w:p>
        </w:tc>
      </w:tr>
      <w:tr w:rsidR="00494892" w:rsidRPr="00A0120E" w:rsidTr="007D5115">
        <w:trPr>
          <w:trHeight w:hRule="exact" w:val="200"/>
        </w:trPr>
        <w:tc>
          <w:tcPr>
            <w:tcW w:w="2160" w:type="dxa"/>
          </w:tcPr>
          <w:p w:rsidR="00494892" w:rsidRPr="00A0120E" w:rsidRDefault="00494892" w:rsidP="007D5115">
            <w:pPr>
              <w:spacing w:after="90" w:line="180" w:lineRule="exact"/>
              <w:rPr>
                <w:sz w:val="13"/>
                <w:szCs w:val="13"/>
                <w:lang w:val="de-DE"/>
              </w:rPr>
            </w:pPr>
          </w:p>
        </w:tc>
      </w:tr>
      <w:tr w:rsidR="00494892" w:rsidRPr="005819CE" w:rsidTr="007D5115">
        <w:trPr>
          <w:trHeight w:val="450"/>
        </w:trPr>
        <w:tc>
          <w:tcPr>
            <w:tcW w:w="2160" w:type="dxa"/>
          </w:tcPr>
          <w:p w:rsidR="00494892" w:rsidRDefault="00494892" w:rsidP="007D5115">
            <w:pPr>
              <w:pStyle w:val="Huisstijl-Kopje"/>
              <w:rPr>
                <w:b w:val="0"/>
                <w:noProof w:val="0"/>
                <w:szCs w:val="13"/>
              </w:rPr>
            </w:pPr>
            <w:r>
              <w:rPr>
                <w:noProof w:val="0"/>
              </w:rPr>
              <w:t>Onze referentie</w:t>
            </w:r>
          </w:p>
          <w:p w:rsidR="00494892" w:rsidRPr="00FA7882" w:rsidRDefault="00494892" w:rsidP="007D5115">
            <w:pPr>
              <w:spacing w:line="180" w:lineRule="exact"/>
              <w:rPr>
                <w:sz w:val="13"/>
                <w:szCs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Pr>
                <w:sz w:val="13"/>
                <w:szCs w:val="13"/>
              </w:rPr>
              <w:t>1339533</w:t>
            </w:r>
            <w:r>
              <w:rPr>
                <w:sz w:val="13"/>
                <w:szCs w:val="13"/>
              </w:rPr>
              <w:fldChar w:fldCharType="end"/>
            </w:r>
          </w:p>
        </w:tc>
      </w:tr>
      <w:tr w:rsidR="00494892" w:rsidRPr="005819CE" w:rsidTr="007D5115">
        <w:trPr>
          <w:trHeight w:val="135"/>
        </w:trPr>
        <w:tc>
          <w:tcPr>
            <w:tcW w:w="2160" w:type="dxa"/>
          </w:tcPr>
          <w:p w:rsidR="00494892" w:rsidRDefault="00494892" w:rsidP="007D5115">
            <w:pPr>
              <w:pStyle w:val="Huisstijl-Kopje"/>
              <w:rPr>
                <w:noProof w:val="0"/>
                <w:lang w:val="en-US"/>
              </w:rPr>
            </w:pPr>
            <w:r>
              <w:rPr>
                <w:noProof w:val="0"/>
                <w:lang w:val="en-US"/>
              </w:rPr>
              <w:t>Bijlagen</w:t>
            </w:r>
          </w:p>
          <w:p w:rsidR="00494892" w:rsidRPr="00C5333A" w:rsidRDefault="00070B32" w:rsidP="007D5115">
            <w:pPr>
              <w:spacing w:after="90" w:line="180" w:lineRule="exact"/>
              <w:rPr>
                <w:sz w:val="13"/>
                <w:szCs w:val="13"/>
              </w:rPr>
            </w:pPr>
            <w:r>
              <w:rPr>
                <w:sz w:val="13"/>
                <w:szCs w:val="13"/>
              </w:rPr>
              <w:t>4</w:t>
            </w:r>
          </w:p>
        </w:tc>
      </w:tr>
    </w:tbl>
    <w:p w:rsidR="00494892" w:rsidRPr="007053E4" w:rsidRDefault="006F62A1" w:rsidP="00494892">
      <w:pPr>
        <w:rPr>
          <w:szCs w:val="18"/>
        </w:rPr>
      </w:pPr>
      <w:r>
        <w:rPr>
          <w:szCs w:val="18"/>
        </w:rPr>
        <w:t>Op 15 maart jongstleden heb ik met uw Kamer gesproken over de keuzes die gemaakt moeten worden rond de verdeling van de onderwijsachterstandsmiddelen. In dit algemeen overleg is gesproken over een aantal varianten van de verdeling, die ik i</w:t>
      </w:r>
      <w:r w:rsidR="00494892" w:rsidRPr="007053E4">
        <w:rPr>
          <w:szCs w:val="18"/>
        </w:rPr>
        <w:t xml:space="preserve">n mijn brief </w:t>
      </w:r>
      <w:r w:rsidR="00494892" w:rsidRPr="007053E4">
        <w:rPr>
          <w:i/>
          <w:szCs w:val="18"/>
        </w:rPr>
        <w:t>Investeren in onderwijskansen</w:t>
      </w:r>
      <w:r w:rsidR="00494892" w:rsidRPr="007053E4">
        <w:rPr>
          <w:szCs w:val="18"/>
        </w:rPr>
        <w:t xml:space="preserve"> van 31 januari </w:t>
      </w:r>
      <w:r w:rsidR="008B6AA6">
        <w:rPr>
          <w:szCs w:val="18"/>
        </w:rPr>
        <w:t>heb</w:t>
      </w:r>
      <w:r>
        <w:rPr>
          <w:szCs w:val="18"/>
        </w:rPr>
        <w:t xml:space="preserve"> voorgelegd. </w:t>
      </w:r>
      <w:r w:rsidR="00307B6D">
        <w:rPr>
          <w:szCs w:val="18"/>
        </w:rPr>
        <w:t xml:space="preserve">In </w:t>
      </w:r>
      <w:r>
        <w:rPr>
          <w:szCs w:val="18"/>
        </w:rPr>
        <w:t>het</w:t>
      </w:r>
      <w:r w:rsidR="00307B6D">
        <w:rPr>
          <w:szCs w:val="18"/>
        </w:rPr>
        <w:t xml:space="preserve"> algemeen overleg heb ik toegezegd in april met een definitieve keuze te komen. Met deze brief wordt aan die belofte uitvoering gegeven.</w:t>
      </w:r>
      <w:r w:rsidR="00494892" w:rsidRPr="007053E4">
        <w:rPr>
          <w:szCs w:val="18"/>
        </w:rPr>
        <w:t xml:space="preserve"> </w:t>
      </w:r>
    </w:p>
    <w:p w:rsidR="00494892" w:rsidRPr="007053E4" w:rsidRDefault="00494892" w:rsidP="00494892">
      <w:pPr>
        <w:rPr>
          <w:szCs w:val="18"/>
        </w:rPr>
      </w:pPr>
    </w:p>
    <w:p w:rsidR="00494892" w:rsidRDefault="00494892" w:rsidP="00494892">
      <w:pPr>
        <w:rPr>
          <w:szCs w:val="18"/>
        </w:rPr>
      </w:pPr>
      <w:r w:rsidRPr="007053E4">
        <w:rPr>
          <w:szCs w:val="18"/>
        </w:rPr>
        <w:t>Er is brede steun voor de indicator die het C</w:t>
      </w:r>
      <w:r>
        <w:rPr>
          <w:szCs w:val="18"/>
        </w:rPr>
        <w:t xml:space="preserve">entraal </w:t>
      </w:r>
      <w:r w:rsidRPr="007053E4">
        <w:rPr>
          <w:szCs w:val="18"/>
        </w:rPr>
        <w:t>B</w:t>
      </w:r>
      <w:r>
        <w:rPr>
          <w:szCs w:val="18"/>
        </w:rPr>
        <w:t xml:space="preserve">ureau voor de </w:t>
      </w:r>
      <w:r w:rsidRPr="007053E4">
        <w:rPr>
          <w:szCs w:val="18"/>
        </w:rPr>
        <w:t>S</w:t>
      </w:r>
      <w:r>
        <w:rPr>
          <w:szCs w:val="18"/>
        </w:rPr>
        <w:t xml:space="preserve">tatistiek (CBS) </w:t>
      </w:r>
      <w:r w:rsidRPr="007053E4">
        <w:rPr>
          <w:szCs w:val="18"/>
        </w:rPr>
        <w:t xml:space="preserve">heeft ontwikkeld en deze wil ik dan ook graag zo snel mogelijk hanteren bij de verdeling van de onderwijsachterstandsmiddelen. </w:t>
      </w:r>
      <w:r>
        <w:rPr>
          <w:szCs w:val="18"/>
        </w:rPr>
        <w:t xml:space="preserve">Met de indicator van het CBS worden de kinderen met een risico op een onderwijsachterstand beter in beeld gebracht. Bovendien kan de verdeling van het geld meebewegen met de ontwikkelingen in de samenleving en lost de ingebruikname van de indicator de administratieve knelpunten voor scholen op. </w:t>
      </w:r>
    </w:p>
    <w:p w:rsidR="00494892" w:rsidRDefault="00494892" w:rsidP="00494892">
      <w:pPr>
        <w:rPr>
          <w:szCs w:val="18"/>
        </w:rPr>
      </w:pPr>
    </w:p>
    <w:p w:rsidR="00167D58" w:rsidRDefault="00494892" w:rsidP="00494892">
      <w:r w:rsidRPr="007053E4">
        <w:rPr>
          <w:szCs w:val="18"/>
        </w:rPr>
        <w:t xml:space="preserve">In deze brief </w:t>
      </w:r>
      <w:r>
        <w:rPr>
          <w:szCs w:val="18"/>
        </w:rPr>
        <w:t xml:space="preserve">treft u mijn keuze voor </w:t>
      </w:r>
      <w:r w:rsidRPr="007053E4">
        <w:rPr>
          <w:szCs w:val="18"/>
        </w:rPr>
        <w:t>de verdeling van de onderwijsachterstandsmiddelen over gemeenten</w:t>
      </w:r>
      <w:r>
        <w:rPr>
          <w:szCs w:val="18"/>
        </w:rPr>
        <w:t xml:space="preserve"> en basisscholen aan</w:t>
      </w:r>
      <w:r w:rsidRPr="007053E4">
        <w:rPr>
          <w:szCs w:val="18"/>
        </w:rPr>
        <w:t>.</w:t>
      </w:r>
      <w:r>
        <w:rPr>
          <w:szCs w:val="18"/>
        </w:rPr>
        <w:t xml:space="preserve"> Ik vind het belangrijk om deze keuze nu te maken, zodat de beschikbare middelen beter over het land kunnen worden verdeeld.</w:t>
      </w:r>
      <w:r w:rsidR="002E6C81">
        <w:rPr>
          <w:szCs w:val="18"/>
        </w:rPr>
        <w:t xml:space="preserve"> </w:t>
      </w:r>
      <w:r w:rsidR="00167D58">
        <w:t>Bovendien geldt dat, indien</w:t>
      </w:r>
      <w:r w:rsidR="002E6C81" w:rsidRPr="00BF4BD4">
        <w:t xml:space="preserve"> </w:t>
      </w:r>
      <w:r w:rsidR="002E6C81">
        <w:t>invoering van de systematiek</w:t>
      </w:r>
      <w:r w:rsidR="00167D58">
        <w:t xml:space="preserve"> voor </w:t>
      </w:r>
      <w:r w:rsidR="002E6C81">
        <w:t>scholen niet lukt per schooljaar 2019-2020</w:t>
      </w:r>
      <w:r w:rsidR="002E6C81" w:rsidRPr="00BF4BD4">
        <w:t>, de uitputting van het budget</w:t>
      </w:r>
      <w:r w:rsidR="002E6C81">
        <w:t xml:space="preserve"> voor scholen</w:t>
      </w:r>
      <w:r w:rsidR="002E6C81" w:rsidRPr="00BF4BD4">
        <w:t xml:space="preserve"> naar verwachting circa € 25 miljoen lager </w:t>
      </w:r>
      <w:r w:rsidR="00167D58">
        <w:t xml:space="preserve">zal </w:t>
      </w:r>
      <w:r w:rsidR="002E6C81" w:rsidRPr="00BF4BD4">
        <w:t>zijn</w:t>
      </w:r>
      <w:r w:rsidR="002E6C81">
        <w:t xml:space="preserve"> dan in schooljaar 2018-2019</w:t>
      </w:r>
      <w:r w:rsidR="002E6C81" w:rsidRPr="00BF4BD4">
        <w:t>.</w:t>
      </w:r>
      <w:r w:rsidR="002E6C81">
        <w:t xml:space="preserve"> </w:t>
      </w:r>
    </w:p>
    <w:p w:rsidR="00167D58" w:rsidRDefault="00167D58" w:rsidP="00494892"/>
    <w:p w:rsidR="00494892" w:rsidRPr="007053E4" w:rsidRDefault="00494892" w:rsidP="00494892">
      <w:pPr>
        <w:rPr>
          <w:szCs w:val="18"/>
        </w:rPr>
      </w:pPr>
      <w:r>
        <w:rPr>
          <w:szCs w:val="18"/>
        </w:rPr>
        <w:t xml:space="preserve">Voor veel gemeenten en scholen zal </w:t>
      </w:r>
      <w:r w:rsidR="006A350E">
        <w:rPr>
          <w:szCs w:val="18"/>
        </w:rPr>
        <w:t>de nieuwe verdeling</w:t>
      </w:r>
      <w:r>
        <w:rPr>
          <w:szCs w:val="18"/>
        </w:rPr>
        <w:t xml:space="preserve"> goed nieuws betekenen. Daarbij ben ik mij ervan bewust dat deze herverdeling voor bepaalde gemeenten en scholen minder gunstig uitpakt.</w:t>
      </w:r>
      <w:r w:rsidRPr="007053E4">
        <w:rPr>
          <w:szCs w:val="18"/>
        </w:rPr>
        <w:t xml:space="preserve"> </w:t>
      </w:r>
      <w:r>
        <w:rPr>
          <w:szCs w:val="18"/>
        </w:rPr>
        <w:t>Daarom kies ik voor een gedegen overgangsregeling, die ik in deze brief ook nader toelicht. Daarnaast geef ik, zoal</w:t>
      </w:r>
      <w:r w:rsidRPr="007053E4">
        <w:rPr>
          <w:szCs w:val="18"/>
        </w:rPr>
        <w:t>s toegezegd in het debat met uw Kamer</w:t>
      </w:r>
      <w:r>
        <w:rPr>
          <w:szCs w:val="18"/>
        </w:rPr>
        <w:t>,</w:t>
      </w:r>
      <w:r w:rsidRPr="007053E4">
        <w:rPr>
          <w:szCs w:val="18"/>
        </w:rPr>
        <w:t xml:space="preserve"> inzicht in het effect van het afstellen van de drie afzonderlijke knoppen</w:t>
      </w:r>
      <w:r>
        <w:rPr>
          <w:szCs w:val="18"/>
        </w:rPr>
        <w:t xml:space="preserve"> en in de </w:t>
      </w:r>
      <w:r w:rsidRPr="007053E4">
        <w:rPr>
          <w:szCs w:val="18"/>
        </w:rPr>
        <w:t>herverdeeleffecten</w:t>
      </w:r>
      <w:r>
        <w:rPr>
          <w:szCs w:val="18"/>
        </w:rPr>
        <w:t>.</w:t>
      </w:r>
    </w:p>
    <w:p w:rsidR="00494892" w:rsidRPr="007053E4" w:rsidRDefault="00494892" w:rsidP="00494892">
      <w:pPr>
        <w:rPr>
          <w:szCs w:val="18"/>
        </w:rPr>
      </w:pPr>
    </w:p>
    <w:p w:rsidR="00494892" w:rsidRPr="007053E4" w:rsidRDefault="00494892" w:rsidP="00494892">
      <w:pPr>
        <w:rPr>
          <w:b/>
          <w:szCs w:val="18"/>
        </w:rPr>
      </w:pPr>
      <w:r w:rsidRPr="007053E4">
        <w:rPr>
          <w:b/>
          <w:szCs w:val="18"/>
        </w:rPr>
        <w:t>Nieuwe verdeling middelen</w:t>
      </w:r>
    </w:p>
    <w:p w:rsidR="00494892" w:rsidRPr="00070B32" w:rsidRDefault="00494892" w:rsidP="00494892">
      <w:pPr>
        <w:rPr>
          <w:szCs w:val="18"/>
        </w:rPr>
      </w:pPr>
      <w:r>
        <w:rPr>
          <w:szCs w:val="18"/>
        </w:rPr>
        <w:t xml:space="preserve">In mijn brief van 31 januari jongstleden heb ik aangegeven dat er enkele keuzes bepalend zijn voor de verdeling van de onderwijsachterstandsmiddelen. Het gaat hierbij om de afbakening van de doelgroepomvang en de hoogte van een eventuele drempel voor gemeenten en scholen. </w:t>
      </w:r>
      <w:r w:rsidR="00922276">
        <w:rPr>
          <w:szCs w:val="18"/>
        </w:rPr>
        <w:t>Het u</w:t>
      </w:r>
      <w:r>
        <w:rPr>
          <w:szCs w:val="18"/>
        </w:rPr>
        <w:t xml:space="preserve">itgangspunt bij de nieuwe </w:t>
      </w:r>
      <w:r>
        <w:rPr>
          <w:szCs w:val="18"/>
        </w:rPr>
        <w:lastRenderedPageBreak/>
        <w:t>verde</w:t>
      </w:r>
      <w:r w:rsidR="00070B35">
        <w:rPr>
          <w:szCs w:val="18"/>
        </w:rPr>
        <w:t>el</w:t>
      </w:r>
      <w:r>
        <w:rPr>
          <w:szCs w:val="18"/>
        </w:rPr>
        <w:t xml:space="preserve">systematiek is het reeds vastgestelde macrobudget dat vanuit het Rijk beschikbaar is voor het onderwijsachterstandenbeleid. Het Kabinet investeert de komende jaren extra in het gericht vergroten van onderwijskansen. Gemeenten kunnen, ook in de nieuwe systematiek, zelf besluiten om een bredere voorziening aan te bieden, passend binnen het lokale jeugd- en onderwijsbeleid. Zij kunnen </w:t>
      </w:r>
      <w:r w:rsidRPr="00070B32">
        <w:rPr>
          <w:szCs w:val="18"/>
        </w:rPr>
        <w:t>daarvoor eventueel binnen de geldende financiële en juridische kaders aanvullend eigen middelen aanwenden, bijvoorbeeld de middelen die met het Regeerakkoord extra beschikbaar zijn gekomen via het accres.</w:t>
      </w:r>
    </w:p>
    <w:p w:rsidR="00494892" w:rsidRPr="00070B32" w:rsidRDefault="00494892" w:rsidP="00494892">
      <w:pPr>
        <w:rPr>
          <w:szCs w:val="18"/>
        </w:rPr>
      </w:pPr>
    </w:p>
    <w:p w:rsidR="00307B6D" w:rsidRPr="00070B32" w:rsidRDefault="00307B6D" w:rsidP="00CF7303">
      <w:pPr>
        <w:rPr>
          <w:szCs w:val="18"/>
        </w:rPr>
      </w:pPr>
      <w:r w:rsidRPr="00070B32">
        <w:rPr>
          <w:szCs w:val="18"/>
        </w:rPr>
        <w:t>Zoals bekend heeft de PO-Raad voor het algemeen overleg van 15 maart schriftelijk</w:t>
      </w:r>
      <w:r w:rsidR="00070B35" w:rsidRPr="00070B32">
        <w:rPr>
          <w:szCs w:val="18"/>
        </w:rPr>
        <w:t xml:space="preserve"> aan uw Kamer</w:t>
      </w:r>
      <w:r w:rsidRPr="00070B32">
        <w:rPr>
          <w:szCs w:val="18"/>
        </w:rPr>
        <w:t xml:space="preserve"> aangegeven </w:t>
      </w:r>
      <w:r w:rsidR="006B18D1" w:rsidRPr="00070B32">
        <w:rPr>
          <w:szCs w:val="18"/>
        </w:rPr>
        <w:t>voorkeur te hebben</w:t>
      </w:r>
      <w:r w:rsidRPr="00070B32">
        <w:rPr>
          <w:szCs w:val="18"/>
        </w:rPr>
        <w:t xml:space="preserve"> voor een</w:t>
      </w:r>
      <w:r w:rsidR="006B18D1" w:rsidRPr="00070B32">
        <w:rPr>
          <w:szCs w:val="18"/>
        </w:rPr>
        <w:t xml:space="preserve"> verdeelsystematiek met een </w:t>
      </w:r>
      <w:r w:rsidRPr="00070B32">
        <w:rPr>
          <w:szCs w:val="18"/>
        </w:rPr>
        <w:t xml:space="preserve">doelgroep van 15% </w:t>
      </w:r>
      <w:r w:rsidR="006B18D1" w:rsidRPr="00070B32">
        <w:rPr>
          <w:szCs w:val="18"/>
        </w:rPr>
        <w:t>zonder</w:t>
      </w:r>
      <w:r w:rsidRPr="00070B32">
        <w:rPr>
          <w:szCs w:val="18"/>
        </w:rPr>
        <w:t xml:space="preserve"> gemeentelijke drempel. </w:t>
      </w:r>
      <w:r w:rsidR="00070B32" w:rsidRPr="00070B32">
        <w:rPr>
          <w:bCs/>
          <w:iCs/>
          <w:color w:val="000000"/>
          <w:szCs w:val="18"/>
        </w:rPr>
        <w:t>De PO-Raad ging er daarbij vanuit dat hiermee op termijn de mogelijkheid zou bestaan van een basisvoorziening voor alle peuters. Dit kabinet kiest zoals al eerder aangegeven voor een gerichte inzet van de middelen en niet voor een basisvoorziening voor alle peuters. </w:t>
      </w:r>
      <w:r w:rsidRPr="00070B32">
        <w:rPr>
          <w:szCs w:val="18"/>
        </w:rPr>
        <w:t>Nadien is</w:t>
      </w:r>
      <w:r w:rsidR="00BD3A78" w:rsidRPr="00070B32">
        <w:rPr>
          <w:szCs w:val="18"/>
        </w:rPr>
        <w:t xml:space="preserve"> </w:t>
      </w:r>
      <w:r w:rsidRPr="00070B32">
        <w:rPr>
          <w:szCs w:val="18"/>
        </w:rPr>
        <w:t>mondeling me</w:t>
      </w:r>
      <w:r w:rsidR="006B18D1" w:rsidRPr="00070B32">
        <w:rPr>
          <w:szCs w:val="18"/>
        </w:rPr>
        <w:t>d</w:t>
      </w:r>
      <w:r w:rsidRPr="00070B32">
        <w:rPr>
          <w:szCs w:val="18"/>
        </w:rPr>
        <w:t xml:space="preserve">egedeeld dat </w:t>
      </w:r>
      <w:r w:rsidR="006B18D1" w:rsidRPr="00070B32">
        <w:rPr>
          <w:szCs w:val="18"/>
        </w:rPr>
        <w:t xml:space="preserve">de PO-Raad </w:t>
      </w:r>
      <w:r w:rsidRPr="00070B32">
        <w:rPr>
          <w:szCs w:val="18"/>
        </w:rPr>
        <w:t>alles afwegende</w:t>
      </w:r>
      <w:r w:rsidR="00922276" w:rsidRPr="00070B32">
        <w:rPr>
          <w:szCs w:val="18"/>
        </w:rPr>
        <w:t>,</w:t>
      </w:r>
      <w:r w:rsidRPr="00070B32">
        <w:rPr>
          <w:szCs w:val="18"/>
        </w:rPr>
        <w:t xml:space="preserve"> alsnog voorstander is van een kleine drempel voor gemeenten van 5%. De PO-Raad </w:t>
      </w:r>
      <w:r w:rsidR="00922276" w:rsidRPr="00070B32">
        <w:rPr>
          <w:szCs w:val="18"/>
        </w:rPr>
        <w:t>is</w:t>
      </w:r>
      <w:r w:rsidRPr="00070B32">
        <w:rPr>
          <w:szCs w:val="18"/>
        </w:rPr>
        <w:t xml:space="preserve"> na deze wijziging van het </w:t>
      </w:r>
      <w:r w:rsidR="00922276" w:rsidRPr="00070B32">
        <w:rPr>
          <w:szCs w:val="18"/>
        </w:rPr>
        <w:t xml:space="preserve">door hen </w:t>
      </w:r>
      <w:r w:rsidRPr="00070B32">
        <w:rPr>
          <w:szCs w:val="18"/>
        </w:rPr>
        <w:t>eerder ingenomen standpunt uit</w:t>
      </w:r>
      <w:r w:rsidR="00922276" w:rsidRPr="00070B32">
        <w:rPr>
          <w:szCs w:val="18"/>
        </w:rPr>
        <w:t>gekomen</w:t>
      </w:r>
      <w:r w:rsidRPr="00070B32">
        <w:rPr>
          <w:szCs w:val="18"/>
        </w:rPr>
        <w:t xml:space="preserve"> op variant B </w:t>
      </w:r>
      <w:r w:rsidR="006B18D1" w:rsidRPr="00070B32">
        <w:rPr>
          <w:szCs w:val="18"/>
        </w:rPr>
        <w:t>van</w:t>
      </w:r>
      <w:r w:rsidRPr="00070B32">
        <w:rPr>
          <w:szCs w:val="18"/>
        </w:rPr>
        <w:t xml:space="preserve"> de, in de vorige kabinetsbrief geschetste,</w:t>
      </w:r>
      <w:r w:rsidR="006B18D1" w:rsidRPr="00070B32">
        <w:rPr>
          <w:szCs w:val="18"/>
        </w:rPr>
        <w:t xml:space="preserve"> varianten.</w:t>
      </w:r>
      <w:r w:rsidRPr="00070B32">
        <w:rPr>
          <w:szCs w:val="18"/>
        </w:rPr>
        <w:t xml:space="preserve"> </w:t>
      </w:r>
      <w:r w:rsidR="006B18D1" w:rsidRPr="00070B32">
        <w:rPr>
          <w:szCs w:val="18"/>
        </w:rPr>
        <w:t>D</w:t>
      </w:r>
      <w:r w:rsidRPr="00070B32">
        <w:rPr>
          <w:szCs w:val="18"/>
        </w:rPr>
        <w:t xml:space="preserve">e Vereniging van Nederlandse Gemeenten (VNG) </w:t>
      </w:r>
      <w:r w:rsidR="006B18D1" w:rsidRPr="00070B32">
        <w:rPr>
          <w:szCs w:val="18"/>
        </w:rPr>
        <w:t>heeft</w:t>
      </w:r>
      <w:r w:rsidRPr="00070B32">
        <w:rPr>
          <w:szCs w:val="18"/>
        </w:rPr>
        <w:t xml:space="preserve"> </w:t>
      </w:r>
      <w:r w:rsidR="006B18D1" w:rsidRPr="00070B32">
        <w:rPr>
          <w:szCs w:val="18"/>
        </w:rPr>
        <w:t>geen standpunt ingenomen</w:t>
      </w:r>
      <w:r w:rsidRPr="00070B32">
        <w:rPr>
          <w:szCs w:val="18"/>
        </w:rPr>
        <w:t xml:space="preserve"> </w:t>
      </w:r>
      <w:r w:rsidR="006B18D1" w:rsidRPr="00070B32">
        <w:rPr>
          <w:szCs w:val="18"/>
        </w:rPr>
        <w:t xml:space="preserve">ten aanzien van </w:t>
      </w:r>
      <w:r w:rsidR="00BD3A78" w:rsidRPr="00070B32">
        <w:rPr>
          <w:szCs w:val="18"/>
        </w:rPr>
        <w:t>de</w:t>
      </w:r>
      <w:r w:rsidR="006B18D1" w:rsidRPr="00070B32">
        <w:rPr>
          <w:szCs w:val="18"/>
        </w:rPr>
        <w:t xml:space="preserve"> verdeelsystematiek</w:t>
      </w:r>
      <w:r w:rsidRPr="00070B32">
        <w:rPr>
          <w:szCs w:val="18"/>
        </w:rPr>
        <w:t>.</w:t>
      </w:r>
    </w:p>
    <w:p w:rsidR="00307B6D" w:rsidRDefault="00307B6D" w:rsidP="00CF7303">
      <w:pPr>
        <w:rPr>
          <w:szCs w:val="18"/>
        </w:rPr>
      </w:pPr>
    </w:p>
    <w:p w:rsidR="00CF7303" w:rsidRPr="00CF7303" w:rsidRDefault="00070B35" w:rsidP="00CF7303">
      <w:pPr>
        <w:rPr>
          <w:szCs w:val="18"/>
        </w:rPr>
      </w:pPr>
      <w:r>
        <w:rPr>
          <w:szCs w:val="18"/>
        </w:rPr>
        <w:t xml:space="preserve">Uw Kamer heeft geen voorkeur uitgesproken voor een specifieke variant, maar wel richting meegegeven voor de verdere uitwerking van het beleid. Zo werden de uiterste varianten door uw Kamer afgewezen. </w:t>
      </w:r>
      <w:r>
        <w:t xml:space="preserve">Verder hebben enkele partijen aangegeven dat hun voorkeursvariant, een brede voorziening voor alle peuters, ontbrak. </w:t>
      </w:r>
      <w:r w:rsidR="00307B6D">
        <w:rPr>
          <w:szCs w:val="18"/>
        </w:rPr>
        <w:t>Bij het bepalen van de definitieve keuze</w:t>
      </w:r>
      <w:r w:rsidR="00F83147">
        <w:rPr>
          <w:szCs w:val="18"/>
        </w:rPr>
        <w:t xml:space="preserve"> is </w:t>
      </w:r>
      <w:r w:rsidR="006F62A1">
        <w:rPr>
          <w:szCs w:val="18"/>
        </w:rPr>
        <w:t xml:space="preserve">er </w:t>
      </w:r>
      <w:r w:rsidR="00F83147">
        <w:rPr>
          <w:szCs w:val="18"/>
        </w:rPr>
        <w:t xml:space="preserve">rekening </w:t>
      </w:r>
      <w:r w:rsidR="006F62A1">
        <w:rPr>
          <w:szCs w:val="18"/>
        </w:rPr>
        <w:t>ge</w:t>
      </w:r>
      <w:r w:rsidR="00F83147">
        <w:rPr>
          <w:szCs w:val="18"/>
        </w:rPr>
        <w:t>houden met gemeenten die er door de toepassing van de nieuwe indicator op achteruitgaan</w:t>
      </w:r>
      <w:r w:rsidR="006F62A1">
        <w:rPr>
          <w:szCs w:val="18"/>
        </w:rPr>
        <w:t>. Tegelijk</w:t>
      </w:r>
      <w:r>
        <w:rPr>
          <w:szCs w:val="18"/>
        </w:rPr>
        <w:t>ertijd</w:t>
      </w:r>
      <w:r w:rsidR="006F62A1">
        <w:rPr>
          <w:szCs w:val="18"/>
        </w:rPr>
        <w:t xml:space="preserve"> is het kabinet van mening dat iedere gemeente in staat moet worden gesteld een goed aanbod te kunnen doen voor kinderen met een risico op een onderwijsachterstand. </w:t>
      </w:r>
      <w:r w:rsidR="00922276">
        <w:rPr>
          <w:szCs w:val="18"/>
        </w:rPr>
        <w:t>H</w:t>
      </w:r>
      <w:r w:rsidR="00F83147">
        <w:rPr>
          <w:szCs w:val="18"/>
        </w:rPr>
        <w:t>et</w:t>
      </w:r>
      <w:r w:rsidR="006F62A1">
        <w:rPr>
          <w:szCs w:val="18"/>
        </w:rPr>
        <w:t xml:space="preserve"> kabinet</w:t>
      </w:r>
      <w:r w:rsidR="00922276">
        <w:rPr>
          <w:szCs w:val="18"/>
        </w:rPr>
        <w:t xml:space="preserve"> heeft</w:t>
      </w:r>
      <w:r w:rsidR="006F62A1">
        <w:rPr>
          <w:szCs w:val="18"/>
        </w:rPr>
        <w:t xml:space="preserve"> het</w:t>
      </w:r>
      <w:r w:rsidR="00307B6D">
        <w:rPr>
          <w:szCs w:val="18"/>
        </w:rPr>
        <w:t xml:space="preserve"> laatst ingenomen standpunt van de PO-Raad zwaar </w:t>
      </w:r>
      <w:r w:rsidR="006F62A1">
        <w:rPr>
          <w:szCs w:val="18"/>
        </w:rPr>
        <w:t>laten meewegen</w:t>
      </w:r>
      <w:r w:rsidR="00307B6D">
        <w:rPr>
          <w:szCs w:val="18"/>
        </w:rPr>
        <w:t>.</w:t>
      </w:r>
      <w:r w:rsidR="003E64BF">
        <w:rPr>
          <w:szCs w:val="18"/>
        </w:rPr>
        <w:t xml:space="preserve"> </w:t>
      </w:r>
      <w:r w:rsidR="00307B6D">
        <w:rPr>
          <w:szCs w:val="18"/>
        </w:rPr>
        <w:t>Om d</w:t>
      </w:r>
      <w:r w:rsidR="00F83147">
        <w:rPr>
          <w:szCs w:val="18"/>
        </w:rPr>
        <w:t>eze</w:t>
      </w:r>
      <w:r w:rsidR="00307B6D">
        <w:rPr>
          <w:szCs w:val="18"/>
        </w:rPr>
        <w:t xml:space="preserve"> reden</w:t>
      </w:r>
      <w:r w:rsidR="003E64BF">
        <w:rPr>
          <w:szCs w:val="18"/>
        </w:rPr>
        <w:t>en</w:t>
      </w:r>
      <w:r w:rsidR="00307B6D">
        <w:rPr>
          <w:szCs w:val="18"/>
        </w:rPr>
        <w:t xml:space="preserve"> heeft het kabinet </w:t>
      </w:r>
      <w:r w:rsidR="00712461">
        <w:rPr>
          <w:szCs w:val="18"/>
        </w:rPr>
        <w:t xml:space="preserve">gekozen voor de </w:t>
      </w:r>
      <w:r w:rsidR="00CF7303" w:rsidRPr="00CF7303">
        <w:rPr>
          <w:szCs w:val="18"/>
        </w:rPr>
        <w:t>volgende nieuwe verdeelsystematiek: een doelgroep van 15 procent, een drempel van 5 procent voor gemeenten en een drempel van 12 procent voor scholen.</w:t>
      </w:r>
      <w:r w:rsidR="00F83147">
        <w:rPr>
          <w:szCs w:val="18"/>
        </w:rPr>
        <w:t xml:space="preserve"> Daarbij wordt voor gemeenten een minimumbudget van € 64.000 gehanteerd.</w:t>
      </w:r>
      <w:r w:rsidR="00E46751">
        <w:rPr>
          <w:szCs w:val="18"/>
        </w:rPr>
        <w:t xml:space="preserve"> </w:t>
      </w:r>
      <w:r w:rsidR="000A2D87">
        <w:rPr>
          <w:szCs w:val="18"/>
        </w:rPr>
        <w:t>In de twee infographics die bij deze brief zijn bijgevoegd is de nieuwe verdeelsystematiek voor zowel gemeenten als scholen samengevat</w:t>
      </w:r>
      <w:r w:rsidR="00070B32">
        <w:rPr>
          <w:szCs w:val="18"/>
        </w:rPr>
        <w:t xml:space="preserve">. </w:t>
      </w:r>
      <w:r w:rsidR="000A2D87">
        <w:rPr>
          <w:szCs w:val="18"/>
        </w:rPr>
        <w:t xml:space="preserve">De </w:t>
      </w:r>
      <w:r w:rsidR="00CF7303" w:rsidRPr="00CF7303">
        <w:rPr>
          <w:szCs w:val="18"/>
        </w:rPr>
        <w:t xml:space="preserve">keuzes licht ik hierna nader toe. </w:t>
      </w:r>
    </w:p>
    <w:p w:rsidR="00494892" w:rsidRPr="00CF7303" w:rsidRDefault="00494892" w:rsidP="00494892">
      <w:pPr>
        <w:rPr>
          <w:szCs w:val="18"/>
        </w:rPr>
      </w:pPr>
      <w:r w:rsidRPr="00CF7303">
        <w:rPr>
          <w:szCs w:val="18"/>
        </w:rPr>
        <w:t xml:space="preserve"> </w:t>
      </w:r>
    </w:p>
    <w:p w:rsidR="00494892" w:rsidRPr="00CF7303" w:rsidRDefault="00494892" w:rsidP="00494892">
      <w:pPr>
        <w:rPr>
          <w:i/>
          <w:szCs w:val="18"/>
        </w:rPr>
      </w:pPr>
      <w:r w:rsidRPr="00CF7303">
        <w:rPr>
          <w:i/>
          <w:szCs w:val="18"/>
        </w:rPr>
        <w:t>Doelgroep van 15 procent</w:t>
      </w:r>
    </w:p>
    <w:p w:rsidR="00494892" w:rsidRPr="007053E4" w:rsidRDefault="00494892" w:rsidP="00494892">
      <w:pPr>
        <w:rPr>
          <w:szCs w:val="18"/>
        </w:rPr>
      </w:pPr>
      <w:r w:rsidRPr="00CF7303">
        <w:rPr>
          <w:szCs w:val="18"/>
        </w:rPr>
        <w:t xml:space="preserve">Aan de hand van de CBS-indicator kan voor ieder kind worden ingeschat in hoeverre en in welke mate het kind op basis van zijn omgeving een risico loopt op een onderwijsachterstand. Het is de vraag welk deel van de kinderen met een risico op een onderwijsachterstand meetelt in de verdeling van het geld. </w:t>
      </w:r>
      <w:r w:rsidR="003E64BF">
        <w:rPr>
          <w:szCs w:val="18"/>
        </w:rPr>
        <w:t>Het kabinet kiest</w:t>
      </w:r>
      <w:r w:rsidRPr="00CF7303">
        <w:rPr>
          <w:szCs w:val="18"/>
        </w:rPr>
        <w:t xml:space="preserve"> ervoor om een doelgroep van 15 procent te hanteren: van alle kinderen telt de 15 procent met het hoogste risico op een onderwijsachterstand mee in de verdeling. </w:t>
      </w:r>
      <w:r w:rsidR="003E64BF">
        <w:rPr>
          <w:szCs w:val="18"/>
        </w:rPr>
        <w:t>Het kabinet vindt</w:t>
      </w:r>
      <w:r w:rsidRPr="00CF7303">
        <w:rPr>
          <w:szCs w:val="18"/>
        </w:rPr>
        <w:t xml:space="preserve"> het belangrijk dat de onderwijsachterstandsmiddelen gericht ingezet kunnen worden, zodat de onderwijskansen vergroot worden van de kinderen die dit het hardste nodig hebben. Daarmee</w:t>
      </w:r>
      <w:r w:rsidRPr="007053E4">
        <w:rPr>
          <w:szCs w:val="18"/>
        </w:rPr>
        <w:t xml:space="preserve"> </w:t>
      </w:r>
      <w:r w:rsidR="00E46751">
        <w:rPr>
          <w:szCs w:val="18"/>
        </w:rPr>
        <w:t>voorkomt het kabinet</w:t>
      </w:r>
      <w:r w:rsidRPr="007053E4">
        <w:rPr>
          <w:szCs w:val="18"/>
        </w:rPr>
        <w:t xml:space="preserve"> dat het budget te veel versnipperd raakt</w:t>
      </w:r>
      <w:r>
        <w:rPr>
          <w:szCs w:val="18"/>
        </w:rPr>
        <w:t>. Een grotere doelgroep ligt daarom niet voor de hand</w:t>
      </w:r>
      <w:r w:rsidRPr="007053E4">
        <w:rPr>
          <w:szCs w:val="18"/>
        </w:rPr>
        <w:t xml:space="preserve">. De doelgroep moet echter ook niet te smal zijn, omdat een te kleine doelgroep niet aansluit bij de </w:t>
      </w:r>
      <w:r w:rsidRPr="007053E4">
        <w:rPr>
          <w:szCs w:val="18"/>
        </w:rPr>
        <w:lastRenderedPageBreak/>
        <w:t xml:space="preserve">ervaringen in gemeenten en op scholen. Ik </w:t>
      </w:r>
      <w:r>
        <w:rPr>
          <w:szCs w:val="18"/>
        </w:rPr>
        <w:t>wil</w:t>
      </w:r>
      <w:r w:rsidRPr="007053E4">
        <w:rPr>
          <w:szCs w:val="18"/>
        </w:rPr>
        <w:t xml:space="preserve"> benadrukken dat gemeenten en scholen zelf de inzet van de </w:t>
      </w:r>
      <w:r>
        <w:rPr>
          <w:szCs w:val="18"/>
        </w:rPr>
        <w:t xml:space="preserve">aan hen </w:t>
      </w:r>
      <w:r w:rsidRPr="007053E4">
        <w:rPr>
          <w:szCs w:val="18"/>
        </w:rPr>
        <w:t>toebedeelde middelen bepalen op basis van hun eigen waarnemingen en de daadwerkelijke ondersteuningsbehoefte van de kinderen.</w:t>
      </w:r>
    </w:p>
    <w:p w:rsidR="00494892" w:rsidRPr="007053E4" w:rsidRDefault="00494892" w:rsidP="00494892">
      <w:pPr>
        <w:rPr>
          <w:szCs w:val="18"/>
        </w:rPr>
      </w:pPr>
    </w:p>
    <w:p w:rsidR="00494892" w:rsidRPr="007053E4" w:rsidRDefault="00494892" w:rsidP="00494892">
      <w:pPr>
        <w:rPr>
          <w:i/>
          <w:szCs w:val="18"/>
        </w:rPr>
      </w:pPr>
      <w:r w:rsidRPr="007053E4">
        <w:rPr>
          <w:i/>
          <w:szCs w:val="18"/>
        </w:rPr>
        <w:t xml:space="preserve">Gemeenten: </w:t>
      </w:r>
      <w:r>
        <w:rPr>
          <w:i/>
          <w:szCs w:val="18"/>
        </w:rPr>
        <w:t>een</w:t>
      </w:r>
      <w:r w:rsidRPr="007053E4">
        <w:rPr>
          <w:i/>
          <w:szCs w:val="18"/>
        </w:rPr>
        <w:t xml:space="preserve"> drempel</w:t>
      </w:r>
      <w:r>
        <w:rPr>
          <w:i/>
          <w:szCs w:val="18"/>
        </w:rPr>
        <w:t xml:space="preserve"> van 5 procent, minimumbudget</w:t>
      </w:r>
      <w:r w:rsidRPr="007053E4">
        <w:rPr>
          <w:i/>
          <w:szCs w:val="18"/>
        </w:rPr>
        <w:t xml:space="preserve"> en geen deelbudget</w:t>
      </w:r>
    </w:p>
    <w:p w:rsidR="00494892" w:rsidRDefault="00494892" w:rsidP="00494892">
      <w:pPr>
        <w:rPr>
          <w:szCs w:val="18"/>
        </w:rPr>
      </w:pPr>
      <w:r>
        <w:rPr>
          <w:szCs w:val="18"/>
        </w:rPr>
        <w:t>Met een drempel wordt bepaald hoe geconcentreerd de risico’s op een onderwijsachterstand in een gemeente of op een school moeten zijn om geld te krijgen voor het onderwijskansenbeleid. Door het instellen van een drempel van 5</w:t>
      </w:r>
      <w:r w:rsidR="00070B35">
        <w:rPr>
          <w:szCs w:val="18"/>
        </w:rPr>
        <w:t xml:space="preserve"> procent</w:t>
      </w:r>
      <w:r>
        <w:rPr>
          <w:szCs w:val="18"/>
        </w:rPr>
        <w:t xml:space="preserve"> kan ervoor worden gezorgd dat het beschikbare budget vooral terecht komt op plaatsen waar relatief gezien de grootste problematiek is. Hierdoor raakt het budget minder versnipperd. Om ervoor te zorgen dat ook gemeenten met een klein aantal kinderen </w:t>
      </w:r>
      <w:r w:rsidRPr="007053E4">
        <w:rPr>
          <w:szCs w:val="18"/>
        </w:rPr>
        <w:t xml:space="preserve">met een risico op een onderwijsachterstand </w:t>
      </w:r>
      <w:r>
        <w:rPr>
          <w:szCs w:val="18"/>
        </w:rPr>
        <w:t xml:space="preserve">deze </w:t>
      </w:r>
      <w:r w:rsidRPr="007053E4">
        <w:rPr>
          <w:szCs w:val="18"/>
        </w:rPr>
        <w:t xml:space="preserve">kinderen een aanbod </w:t>
      </w:r>
      <w:r>
        <w:rPr>
          <w:szCs w:val="18"/>
        </w:rPr>
        <w:t>kunnen</w:t>
      </w:r>
      <w:r w:rsidRPr="007053E4">
        <w:rPr>
          <w:szCs w:val="18"/>
        </w:rPr>
        <w:t xml:space="preserve"> doen</w:t>
      </w:r>
      <w:r>
        <w:rPr>
          <w:szCs w:val="18"/>
        </w:rPr>
        <w:t xml:space="preserve">, </w:t>
      </w:r>
      <w:r w:rsidRPr="007053E4">
        <w:rPr>
          <w:szCs w:val="18"/>
        </w:rPr>
        <w:t xml:space="preserve">krijgt elke gemeente waar </w:t>
      </w:r>
      <w:r>
        <w:rPr>
          <w:szCs w:val="18"/>
        </w:rPr>
        <w:t xml:space="preserve">minstens één kind </w:t>
      </w:r>
      <w:r w:rsidRPr="007053E4">
        <w:rPr>
          <w:szCs w:val="18"/>
        </w:rPr>
        <w:t>woont dat in de</w:t>
      </w:r>
      <w:r>
        <w:rPr>
          <w:szCs w:val="18"/>
        </w:rPr>
        <w:t xml:space="preserve"> landelijke</w:t>
      </w:r>
      <w:r w:rsidRPr="007053E4">
        <w:rPr>
          <w:szCs w:val="18"/>
        </w:rPr>
        <w:t xml:space="preserve"> doelgroep</w:t>
      </w:r>
      <w:r>
        <w:rPr>
          <w:szCs w:val="18"/>
        </w:rPr>
        <w:t xml:space="preserve"> van 15 procent</w:t>
      </w:r>
      <w:r w:rsidRPr="007053E4">
        <w:rPr>
          <w:szCs w:val="18"/>
        </w:rPr>
        <w:t xml:space="preserve"> valt een minimumbudget van € 64.000</w:t>
      </w:r>
      <w:r>
        <w:rPr>
          <w:szCs w:val="18"/>
        </w:rPr>
        <w:t>. Hierdoor kan er in elke gemeente</w:t>
      </w:r>
      <w:r w:rsidRPr="007053E4">
        <w:rPr>
          <w:szCs w:val="18"/>
        </w:rPr>
        <w:t xml:space="preserve"> in ieder geval één groep met voorschoolse educatie gevormd worden.</w:t>
      </w:r>
      <w:r>
        <w:rPr>
          <w:rStyle w:val="Voetnootmarkering"/>
          <w:szCs w:val="18"/>
        </w:rPr>
        <w:footnoteReference w:id="1"/>
      </w:r>
      <w:r>
        <w:rPr>
          <w:szCs w:val="18"/>
        </w:rPr>
        <w:t xml:space="preserve"> </w:t>
      </w:r>
    </w:p>
    <w:p w:rsidR="00494892" w:rsidRDefault="00494892" w:rsidP="00494892">
      <w:pPr>
        <w:rPr>
          <w:szCs w:val="18"/>
        </w:rPr>
      </w:pPr>
    </w:p>
    <w:p w:rsidR="00494892" w:rsidRDefault="003E64BF" w:rsidP="00494892">
      <w:pPr>
        <w:rPr>
          <w:szCs w:val="18"/>
        </w:rPr>
      </w:pPr>
      <w:r>
        <w:rPr>
          <w:szCs w:val="18"/>
        </w:rPr>
        <w:t>Het kabinet kiest</w:t>
      </w:r>
      <w:r w:rsidR="00494892" w:rsidRPr="007053E4">
        <w:rPr>
          <w:szCs w:val="18"/>
        </w:rPr>
        <w:t xml:space="preserve"> ervoor om geen deelbudgetten te hanteren</w:t>
      </w:r>
      <w:r w:rsidR="00494892">
        <w:rPr>
          <w:szCs w:val="18"/>
        </w:rPr>
        <w:t xml:space="preserve"> voor specifieke gemeenten. Zowel in een grote als in een kleine gemeente moet e</w:t>
      </w:r>
      <w:r w:rsidR="00494892" w:rsidRPr="007053E4">
        <w:rPr>
          <w:szCs w:val="18"/>
        </w:rPr>
        <w:t>en kind met een risico op een onderwijsachterstand ondersteuning kunnen krijgen</w:t>
      </w:r>
      <w:r w:rsidR="00494892">
        <w:rPr>
          <w:szCs w:val="18"/>
        </w:rPr>
        <w:t>. Voor kinderen met een hoger risico op een onderwijsachterstand zullen scholen en gemeenten een hoger bedrag ontvangen dan voor kinderen met een lager risico. Dit betekent dat gemeenten met grote problematiek meer geld ontvangen dan gemeenten met kleinere problematiek. Daarbij komt dat de gemeentelijke drempel van 5</w:t>
      </w:r>
      <w:r w:rsidR="00070B35">
        <w:rPr>
          <w:szCs w:val="18"/>
        </w:rPr>
        <w:t xml:space="preserve"> procent</w:t>
      </w:r>
      <w:r w:rsidR="00494892">
        <w:rPr>
          <w:szCs w:val="18"/>
        </w:rPr>
        <w:t xml:space="preserve"> er ook voor zorgt dat er </w:t>
      </w:r>
      <w:r w:rsidR="008B6AA6">
        <w:rPr>
          <w:szCs w:val="18"/>
        </w:rPr>
        <w:t xml:space="preserve">voor gemeenten die boven de drempel uitkomen </w:t>
      </w:r>
      <w:r w:rsidR="00494892">
        <w:rPr>
          <w:szCs w:val="18"/>
        </w:rPr>
        <w:t xml:space="preserve">een hoger bedrag per kind beschikbaar is </w:t>
      </w:r>
      <w:r w:rsidR="008B6AA6">
        <w:rPr>
          <w:szCs w:val="18"/>
        </w:rPr>
        <w:t xml:space="preserve">dan wanneer er geen gemeentelijke drempel gehanteerd zou worden. </w:t>
      </w:r>
    </w:p>
    <w:p w:rsidR="00494892" w:rsidRDefault="00494892" w:rsidP="00494892">
      <w:pPr>
        <w:rPr>
          <w:szCs w:val="18"/>
        </w:rPr>
      </w:pPr>
    </w:p>
    <w:p w:rsidR="00494892" w:rsidRDefault="00922276" w:rsidP="00494892">
      <w:pPr>
        <w:rPr>
          <w:szCs w:val="18"/>
        </w:rPr>
      </w:pPr>
      <w:r>
        <w:rPr>
          <w:szCs w:val="18"/>
        </w:rPr>
        <w:t>Met de</w:t>
      </w:r>
      <w:r w:rsidR="00494892" w:rsidRPr="007053E4">
        <w:rPr>
          <w:szCs w:val="18"/>
        </w:rPr>
        <w:t xml:space="preserve"> </w:t>
      </w:r>
      <w:r w:rsidR="00494892">
        <w:rPr>
          <w:szCs w:val="18"/>
        </w:rPr>
        <w:t>o</w:t>
      </w:r>
      <w:r w:rsidR="00494892" w:rsidRPr="007053E4">
        <w:rPr>
          <w:szCs w:val="18"/>
        </w:rPr>
        <w:t>nderwijsachterstand</w:t>
      </w:r>
      <w:r w:rsidR="00494892">
        <w:rPr>
          <w:szCs w:val="18"/>
        </w:rPr>
        <w:t xml:space="preserve">smiddelen </w:t>
      </w:r>
      <w:r>
        <w:rPr>
          <w:szCs w:val="18"/>
        </w:rPr>
        <w:t>zet het kabinet</w:t>
      </w:r>
      <w:r w:rsidRPr="007053E4">
        <w:rPr>
          <w:szCs w:val="18"/>
        </w:rPr>
        <w:t xml:space="preserve"> </w:t>
      </w:r>
      <w:r w:rsidR="00494892" w:rsidRPr="007053E4">
        <w:rPr>
          <w:szCs w:val="18"/>
        </w:rPr>
        <w:t>gericht in</w:t>
      </w:r>
      <w:r>
        <w:rPr>
          <w:szCs w:val="18"/>
        </w:rPr>
        <w:t xml:space="preserve"> </w:t>
      </w:r>
      <w:r w:rsidR="00494892" w:rsidRPr="007053E4">
        <w:rPr>
          <w:szCs w:val="18"/>
        </w:rPr>
        <w:t>op</w:t>
      </w:r>
      <w:r>
        <w:rPr>
          <w:szCs w:val="18"/>
        </w:rPr>
        <w:t xml:space="preserve"> de</w:t>
      </w:r>
      <w:r w:rsidR="00494892" w:rsidRPr="007053E4">
        <w:rPr>
          <w:szCs w:val="18"/>
        </w:rPr>
        <w:t xml:space="preserve"> kinderen die het nodig hebben. Gemeenten behouden de vrijheid om hun eigen doelgroep te bepalen en een bredere voorziening aan te bieden</w:t>
      </w:r>
      <w:r w:rsidR="00494892">
        <w:rPr>
          <w:szCs w:val="18"/>
        </w:rPr>
        <w:t xml:space="preserve"> (bijvoorbeeld voor alle peuters) door</w:t>
      </w:r>
      <w:r w:rsidR="00494892" w:rsidRPr="007053E4">
        <w:rPr>
          <w:szCs w:val="18"/>
        </w:rPr>
        <w:t xml:space="preserve"> binnen de financiële en juridische kaders andere middelen te benutten.</w:t>
      </w:r>
      <w:r w:rsidR="00494892">
        <w:rPr>
          <w:szCs w:val="18"/>
        </w:rPr>
        <w:t xml:space="preserve"> </w:t>
      </w:r>
    </w:p>
    <w:p w:rsidR="00494892" w:rsidRPr="007053E4" w:rsidRDefault="00494892" w:rsidP="00494892">
      <w:pPr>
        <w:rPr>
          <w:szCs w:val="18"/>
        </w:rPr>
      </w:pPr>
    </w:p>
    <w:p w:rsidR="00494892" w:rsidRPr="007053E4" w:rsidRDefault="00494892" w:rsidP="00494892">
      <w:pPr>
        <w:rPr>
          <w:i/>
          <w:szCs w:val="18"/>
        </w:rPr>
      </w:pPr>
      <w:r w:rsidRPr="007053E4">
        <w:rPr>
          <w:i/>
          <w:szCs w:val="18"/>
        </w:rPr>
        <w:t>Scholen: drempel van 12 procent</w:t>
      </w:r>
    </w:p>
    <w:p w:rsidR="00494892" w:rsidRPr="007053E4" w:rsidRDefault="003E64BF" w:rsidP="00494892">
      <w:pPr>
        <w:rPr>
          <w:szCs w:val="18"/>
        </w:rPr>
      </w:pPr>
      <w:r>
        <w:rPr>
          <w:szCs w:val="18"/>
        </w:rPr>
        <w:t>Het kabinet kiest</w:t>
      </w:r>
      <w:r w:rsidR="00494892">
        <w:rPr>
          <w:szCs w:val="18"/>
        </w:rPr>
        <w:t xml:space="preserve"> ervoor om voor scholen een hogere drempel te hanteren dan voor gemeenten. </w:t>
      </w:r>
      <w:r w:rsidR="00494892" w:rsidRPr="007053E4">
        <w:rPr>
          <w:szCs w:val="18"/>
        </w:rPr>
        <w:t xml:space="preserve">De onderwijsachterstandsmiddelen voor basisscholen zijn een aanvulling bovenop de reguliere lumpsum. Vanuit hun reguliere bekostiging spelen scholen in op de verschillende behoeftes van hun leerlingen. Scholen zouden hiermee in staat moeten zijn om </w:t>
      </w:r>
      <w:r w:rsidR="00494892">
        <w:rPr>
          <w:szCs w:val="18"/>
        </w:rPr>
        <w:t>een deel van de</w:t>
      </w:r>
      <w:r w:rsidR="00494892" w:rsidRPr="007053E4">
        <w:rPr>
          <w:szCs w:val="18"/>
        </w:rPr>
        <w:t xml:space="preserve"> kinderen met een risico op een onderwijsachterstand de ondersteuning te bieden die zij nodig hebben. Daarom </w:t>
      </w:r>
      <w:r>
        <w:rPr>
          <w:szCs w:val="18"/>
        </w:rPr>
        <w:t>kiest het kabinet</w:t>
      </w:r>
      <w:r w:rsidR="00494892" w:rsidRPr="007053E4">
        <w:rPr>
          <w:szCs w:val="18"/>
        </w:rPr>
        <w:t xml:space="preserve"> bij scholen voor het toepassen van een drempel van 12 procent. Als gevolg daarvan ontvangen scholen alleen aanvullende bekostiging wanneer de verwachte achterstandsproblematiek op een school te groot wordt. Deze </w:t>
      </w:r>
      <w:r w:rsidR="00494892">
        <w:rPr>
          <w:szCs w:val="18"/>
        </w:rPr>
        <w:t xml:space="preserve">hogere </w:t>
      </w:r>
      <w:r w:rsidR="00494892" w:rsidRPr="007053E4">
        <w:rPr>
          <w:szCs w:val="18"/>
        </w:rPr>
        <w:t xml:space="preserve">drempel voorkomt </w:t>
      </w:r>
      <w:r w:rsidR="00494892">
        <w:rPr>
          <w:szCs w:val="18"/>
        </w:rPr>
        <w:t>ongewenste</w:t>
      </w:r>
      <w:r w:rsidR="00494892" w:rsidRPr="007053E4">
        <w:rPr>
          <w:szCs w:val="18"/>
        </w:rPr>
        <w:t xml:space="preserve"> versnippering van het budget. </w:t>
      </w:r>
    </w:p>
    <w:p w:rsidR="00494892" w:rsidRPr="007053E4" w:rsidRDefault="00494892" w:rsidP="00494892">
      <w:pPr>
        <w:rPr>
          <w:szCs w:val="18"/>
        </w:rPr>
      </w:pPr>
    </w:p>
    <w:p w:rsidR="008C647F" w:rsidRDefault="008C647F" w:rsidP="00494892">
      <w:pPr>
        <w:rPr>
          <w:b/>
          <w:szCs w:val="18"/>
        </w:rPr>
      </w:pPr>
    </w:p>
    <w:p w:rsidR="00494892" w:rsidRPr="007053E4" w:rsidRDefault="00494892" w:rsidP="00494892">
      <w:pPr>
        <w:rPr>
          <w:b/>
          <w:szCs w:val="18"/>
        </w:rPr>
      </w:pPr>
      <w:r w:rsidRPr="007053E4">
        <w:rPr>
          <w:b/>
          <w:szCs w:val="18"/>
        </w:rPr>
        <w:lastRenderedPageBreak/>
        <w:t>Effecten afstelling knoppen</w:t>
      </w:r>
    </w:p>
    <w:p w:rsidR="00494892" w:rsidRDefault="00494892" w:rsidP="00494892">
      <w:pPr>
        <w:rPr>
          <w:szCs w:val="18"/>
        </w:rPr>
      </w:pPr>
      <w:r w:rsidRPr="007053E4">
        <w:rPr>
          <w:szCs w:val="18"/>
        </w:rPr>
        <w:t xml:space="preserve">Uw Kamer heeft gevraagd om bij mijn definitieve </w:t>
      </w:r>
      <w:r>
        <w:rPr>
          <w:szCs w:val="18"/>
        </w:rPr>
        <w:t>beslissing</w:t>
      </w:r>
      <w:r w:rsidRPr="007053E4">
        <w:rPr>
          <w:szCs w:val="18"/>
        </w:rPr>
        <w:t xml:space="preserve"> inzicht te krijgen in de afstelling van de drie afzonderlijke </w:t>
      </w:r>
      <w:r>
        <w:rPr>
          <w:szCs w:val="18"/>
        </w:rPr>
        <w:t>keuzes</w:t>
      </w:r>
      <w:r w:rsidRPr="007053E4">
        <w:rPr>
          <w:szCs w:val="18"/>
        </w:rPr>
        <w:t xml:space="preserve"> (doelgroep, drempel </w:t>
      </w:r>
      <w:r>
        <w:rPr>
          <w:szCs w:val="18"/>
        </w:rPr>
        <w:t xml:space="preserve">voor </w:t>
      </w:r>
      <w:r w:rsidRPr="007053E4">
        <w:rPr>
          <w:szCs w:val="18"/>
        </w:rPr>
        <w:t>scholen en drempel</w:t>
      </w:r>
      <w:r>
        <w:rPr>
          <w:szCs w:val="18"/>
        </w:rPr>
        <w:t xml:space="preserve"> voor</w:t>
      </w:r>
      <w:r w:rsidRPr="007053E4">
        <w:rPr>
          <w:szCs w:val="18"/>
        </w:rPr>
        <w:t xml:space="preserve"> gemeenten). Daarom zijn </w:t>
      </w:r>
      <w:r>
        <w:rPr>
          <w:szCs w:val="18"/>
        </w:rPr>
        <w:t>in figuur 1 tot en met 4</w:t>
      </w:r>
      <w:r w:rsidRPr="007053E4">
        <w:rPr>
          <w:szCs w:val="18"/>
        </w:rPr>
        <w:t xml:space="preserve"> de effecten weergegeven indien één van de knop</w:t>
      </w:r>
      <w:r>
        <w:rPr>
          <w:szCs w:val="18"/>
        </w:rPr>
        <w:t>pen</w:t>
      </w:r>
      <w:r w:rsidRPr="007053E4">
        <w:rPr>
          <w:szCs w:val="18"/>
        </w:rPr>
        <w:t xml:space="preserve"> net iets anders wordt afgesteld </w:t>
      </w:r>
      <w:r>
        <w:rPr>
          <w:szCs w:val="18"/>
        </w:rPr>
        <w:t>dan in</w:t>
      </w:r>
      <w:r w:rsidRPr="007053E4">
        <w:rPr>
          <w:szCs w:val="18"/>
        </w:rPr>
        <w:t xml:space="preserve"> mijn </w:t>
      </w:r>
      <w:r>
        <w:rPr>
          <w:szCs w:val="18"/>
        </w:rPr>
        <w:t>voorstel</w:t>
      </w:r>
      <w:r w:rsidRPr="007053E4">
        <w:rPr>
          <w:szCs w:val="18"/>
        </w:rPr>
        <w:t xml:space="preserve">. </w:t>
      </w:r>
    </w:p>
    <w:p w:rsidR="00494892" w:rsidRDefault="00494892" w:rsidP="00494892">
      <w:pPr>
        <w:rPr>
          <w:szCs w:val="18"/>
        </w:rPr>
      </w:pPr>
    </w:p>
    <w:p w:rsidR="00501369" w:rsidRDefault="00494892" w:rsidP="00494892">
      <w:pPr>
        <w:rPr>
          <w:szCs w:val="18"/>
        </w:rPr>
      </w:pPr>
      <w:r w:rsidRPr="007053E4">
        <w:rPr>
          <w:szCs w:val="18"/>
        </w:rPr>
        <w:t>Onderstaande tabellen geven weer hoe hoog het gemiddelde bedrag per kind is</w:t>
      </w:r>
      <w:r w:rsidR="007B7CA5">
        <w:rPr>
          <w:szCs w:val="18"/>
        </w:rPr>
        <w:t xml:space="preserve">. Voor gemeenten is dit </w:t>
      </w:r>
      <w:r>
        <w:rPr>
          <w:szCs w:val="18"/>
        </w:rPr>
        <w:t>gebaseerd op</w:t>
      </w:r>
      <w:r w:rsidR="007B7CA5">
        <w:rPr>
          <w:szCs w:val="18"/>
        </w:rPr>
        <w:t xml:space="preserve"> zowel</w:t>
      </w:r>
      <w:r>
        <w:rPr>
          <w:szCs w:val="18"/>
        </w:rPr>
        <w:t xml:space="preserve"> het aantal kinderen van 2,5 tot</w:t>
      </w:r>
      <w:r w:rsidR="007B7CA5">
        <w:rPr>
          <w:szCs w:val="18"/>
        </w:rPr>
        <w:t xml:space="preserve"> 4 jaar als het aantal basisschoolleerlingen dat </w:t>
      </w:r>
      <w:r>
        <w:rPr>
          <w:szCs w:val="18"/>
        </w:rPr>
        <w:t>meetel</w:t>
      </w:r>
      <w:r w:rsidR="007B7CA5">
        <w:rPr>
          <w:szCs w:val="18"/>
        </w:rPr>
        <w:t>t</w:t>
      </w:r>
      <w:r>
        <w:rPr>
          <w:szCs w:val="18"/>
        </w:rPr>
        <w:t xml:space="preserve"> in de verdeling van de middelen</w:t>
      </w:r>
      <w:r w:rsidRPr="007053E4">
        <w:rPr>
          <w:szCs w:val="18"/>
        </w:rPr>
        <w:t>.</w:t>
      </w:r>
      <w:r w:rsidR="007B7CA5">
        <w:rPr>
          <w:szCs w:val="18"/>
        </w:rPr>
        <w:t xml:space="preserve"> Voor scholen is dit alleen gebaseerd op het aantal basisschoolleerlingen.</w:t>
      </w:r>
      <w:r w:rsidR="007B7CA5" w:rsidRPr="007053E4">
        <w:rPr>
          <w:rStyle w:val="Voetnootmarkering"/>
          <w:szCs w:val="18"/>
        </w:rPr>
        <w:footnoteReference w:id="2"/>
      </w:r>
      <w:r w:rsidR="007B7CA5">
        <w:rPr>
          <w:szCs w:val="18"/>
        </w:rPr>
        <w:t xml:space="preserve"> </w:t>
      </w:r>
      <w:r>
        <w:rPr>
          <w:szCs w:val="18"/>
        </w:rPr>
        <w:t>Het aantal kinderen uit de tabellen hoeft niet gelijk te zijn aan de daadwerkelijk bereikte doelgroep door gemeenten en scholen, aangezien zij zelf hun eigen doelgroep bepalen en zelf gaan over de inzet van de middelen.</w:t>
      </w:r>
      <w:r>
        <w:rPr>
          <w:rStyle w:val="Voetnootmarkering"/>
          <w:szCs w:val="18"/>
        </w:rPr>
        <w:footnoteReference w:id="3"/>
      </w:r>
      <w:r>
        <w:rPr>
          <w:szCs w:val="18"/>
        </w:rPr>
        <w:t xml:space="preserve">  </w:t>
      </w:r>
    </w:p>
    <w:p w:rsidR="00B21CED" w:rsidRPr="000A70E0" w:rsidRDefault="00B21CED" w:rsidP="00494892">
      <w:pPr>
        <w:rPr>
          <w:szCs w:val="18"/>
        </w:rPr>
      </w:pPr>
    </w:p>
    <w:p w:rsidR="00494892" w:rsidRPr="00C01F6A" w:rsidRDefault="00494892" w:rsidP="00494892">
      <w:pPr>
        <w:rPr>
          <w:sz w:val="16"/>
          <w:szCs w:val="18"/>
        </w:rPr>
      </w:pPr>
      <w:r w:rsidRPr="00C01F6A">
        <w:rPr>
          <w:sz w:val="16"/>
          <w:szCs w:val="18"/>
        </w:rPr>
        <w:t>Figuur 1: Afstelling doelgroep</w:t>
      </w:r>
      <w:r>
        <w:rPr>
          <w:sz w:val="16"/>
          <w:szCs w:val="18"/>
        </w:rPr>
        <w:t xml:space="preserve"> gemeenten bij een drempel van 5%</w:t>
      </w:r>
    </w:p>
    <w:tbl>
      <w:tblPr>
        <w:tblW w:w="9020" w:type="dxa"/>
        <w:tblCellMar>
          <w:left w:w="70" w:type="dxa"/>
          <w:right w:w="70" w:type="dxa"/>
        </w:tblCellMar>
        <w:tblLook w:val="04A0" w:firstRow="1" w:lastRow="0" w:firstColumn="1" w:lastColumn="0" w:noHBand="0" w:noVBand="1"/>
      </w:tblPr>
      <w:tblGrid>
        <w:gridCol w:w="4040"/>
        <w:gridCol w:w="1140"/>
        <w:gridCol w:w="960"/>
        <w:gridCol w:w="960"/>
        <w:gridCol w:w="960"/>
        <w:gridCol w:w="960"/>
      </w:tblGrid>
      <w:tr w:rsidR="00494892" w:rsidRPr="00825EF1" w:rsidTr="007D5115">
        <w:trPr>
          <w:trHeight w:val="225"/>
        </w:trPr>
        <w:tc>
          <w:tcPr>
            <w:tcW w:w="4040" w:type="dxa"/>
            <w:tcBorders>
              <w:top w:val="single" w:sz="4" w:space="0" w:color="auto"/>
              <w:left w:val="nil"/>
              <w:bottom w:val="single" w:sz="4" w:space="0" w:color="auto"/>
              <w:right w:val="nil"/>
            </w:tcBorders>
            <w:shd w:val="clear" w:color="auto" w:fill="auto"/>
            <w:noWrap/>
            <w:vAlign w:val="bottom"/>
            <w:hideMark/>
          </w:tcPr>
          <w:p w:rsidR="00494892" w:rsidRPr="00825EF1" w:rsidRDefault="00494892" w:rsidP="007D5115">
            <w:pPr>
              <w:spacing w:line="240" w:lineRule="auto"/>
              <w:rPr>
                <w:color w:val="000000"/>
                <w:szCs w:val="18"/>
              </w:rPr>
            </w:pPr>
            <w:r w:rsidRPr="00825EF1">
              <w:rPr>
                <w:color w:val="000000"/>
                <w:szCs w:val="18"/>
              </w:rPr>
              <w:t>Doelgroep</w:t>
            </w:r>
          </w:p>
        </w:tc>
        <w:tc>
          <w:tcPr>
            <w:tcW w:w="1140" w:type="dxa"/>
            <w:tcBorders>
              <w:top w:val="single" w:sz="4" w:space="0" w:color="auto"/>
              <w:left w:val="nil"/>
              <w:bottom w:val="single" w:sz="4" w:space="0" w:color="auto"/>
              <w:right w:val="nil"/>
            </w:tcBorders>
            <w:shd w:val="clear" w:color="auto" w:fill="auto"/>
            <w:noWrap/>
            <w:vAlign w:val="bottom"/>
            <w:hideMark/>
          </w:tcPr>
          <w:p w:rsidR="00494892" w:rsidRPr="00825EF1" w:rsidRDefault="00494892" w:rsidP="007D5115">
            <w:pPr>
              <w:spacing w:line="240" w:lineRule="auto"/>
              <w:jc w:val="center"/>
              <w:rPr>
                <w:color w:val="000000"/>
                <w:szCs w:val="18"/>
              </w:rPr>
            </w:pPr>
            <w:r w:rsidRPr="00825EF1">
              <w:rPr>
                <w:color w:val="000000"/>
                <w:szCs w:val="18"/>
              </w:rPr>
              <w:t>13%</w:t>
            </w:r>
          </w:p>
        </w:tc>
        <w:tc>
          <w:tcPr>
            <w:tcW w:w="960" w:type="dxa"/>
            <w:tcBorders>
              <w:top w:val="single" w:sz="4" w:space="0" w:color="auto"/>
              <w:left w:val="nil"/>
              <w:bottom w:val="single" w:sz="4" w:space="0" w:color="auto"/>
              <w:right w:val="nil"/>
            </w:tcBorders>
            <w:shd w:val="clear" w:color="auto" w:fill="auto"/>
            <w:noWrap/>
            <w:vAlign w:val="bottom"/>
            <w:hideMark/>
          </w:tcPr>
          <w:p w:rsidR="00494892" w:rsidRPr="00825EF1" w:rsidRDefault="00494892" w:rsidP="007D5115">
            <w:pPr>
              <w:spacing w:line="240" w:lineRule="auto"/>
              <w:jc w:val="center"/>
              <w:rPr>
                <w:color w:val="000000"/>
                <w:szCs w:val="18"/>
              </w:rPr>
            </w:pPr>
            <w:r w:rsidRPr="00825EF1">
              <w:rPr>
                <w:color w:val="000000"/>
                <w:szCs w:val="18"/>
              </w:rPr>
              <w:t>14%</w:t>
            </w:r>
          </w:p>
        </w:tc>
        <w:tc>
          <w:tcPr>
            <w:tcW w:w="960" w:type="dxa"/>
            <w:tcBorders>
              <w:top w:val="single" w:sz="4" w:space="0" w:color="auto"/>
              <w:left w:val="nil"/>
              <w:bottom w:val="single" w:sz="4" w:space="0" w:color="auto"/>
              <w:right w:val="nil"/>
            </w:tcBorders>
            <w:shd w:val="clear" w:color="000000" w:fill="D9D9D9"/>
            <w:noWrap/>
            <w:vAlign w:val="bottom"/>
            <w:hideMark/>
          </w:tcPr>
          <w:p w:rsidR="00494892" w:rsidRPr="00825EF1" w:rsidRDefault="00494892" w:rsidP="007D5115">
            <w:pPr>
              <w:spacing w:line="240" w:lineRule="auto"/>
              <w:jc w:val="center"/>
              <w:rPr>
                <w:color w:val="000000"/>
                <w:szCs w:val="18"/>
              </w:rPr>
            </w:pPr>
            <w:r w:rsidRPr="00825EF1">
              <w:rPr>
                <w:color w:val="000000"/>
                <w:szCs w:val="18"/>
              </w:rPr>
              <w:t>15%</w:t>
            </w:r>
          </w:p>
        </w:tc>
        <w:tc>
          <w:tcPr>
            <w:tcW w:w="960" w:type="dxa"/>
            <w:tcBorders>
              <w:top w:val="single" w:sz="4" w:space="0" w:color="auto"/>
              <w:left w:val="nil"/>
              <w:bottom w:val="single" w:sz="4" w:space="0" w:color="auto"/>
              <w:right w:val="nil"/>
            </w:tcBorders>
            <w:shd w:val="clear" w:color="auto" w:fill="auto"/>
            <w:noWrap/>
            <w:vAlign w:val="bottom"/>
            <w:hideMark/>
          </w:tcPr>
          <w:p w:rsidR="00494892" w:rsidRPr="00825EF1" w:rsidRDefault="00494892" w:rsidP="007D5115">
            <w:pPr>
              <w:spacing w:line="240" w:lineRule="auto"/>
              <w:jc w:val="center"/>
              <w:rPr>
                <w:color w:val="000000"/>
                <w:szCs w:val="18"/>
              </w:rPr>
            </w:pPr>
            <w:r w:rsidRPr="00825EF1">
              <w:rPr>
                <w:color w:val="000000"/>
                <w:szCs w:val="18"/>
              </w:rPr>
              <w:t>16%</w:t>
            </w:r>
          </w:p>
        </w:tc>
        <w:tc>
          <w:tcPr>
            <w:tcW w:w="960" w:type="dxa"/>
            <w:tcBorders>
              <w:top w:val="single" w:sz="4" w:space="0" w:color="auto"/>
              <w:left w:val="nil"/>
              <w:bottom w:val="single" w:sz="4" w:space="0" w:color="auto"/>
              <w:right w:val="nil"/>
            </w:tcBorders>
            <w:shd w:val="clear" w:color="auto" w:fill="auto"/>
            <w:noWrap/>
            <w:vAlign w:val="bottom"/>
            <w:hideMark/>
          </w:tcPr>
          <w:p w:rsidR="00494892" w:rsidRPr="00825EF1" w:rsidRDefault="00494892" w:rsidP="007D5115">
            <w:pPr>
              <w:spacing w:line="240" w:lineRule="auto"/>
              <w:jc w:val="center"/>
              <w:rPr>
                <w:color w:val="000000"/>
                <w:szCs w:val="18"/>
              </w:rPr>
            </w:pPr>
            <w:r w:rsidRPr="00825EF1">
              <w:rPr>
                <w:color w:val="000000"/>
                <w:szCs w:val="18"/>
              </w:rPr>
              <w:t>17%</w:t>
            </w:r>
          </w:p>
        </w:tc>
      </w:tr>
      <w:tr w:rsidR="00494892" w:rsidRPr="00825EF1" w:rsidTr="007D5115">
        <w:trPr>
          <w:trHeight w:val="225"/>
        </w:trPr>
        <w:tc>
          <w:tcPr>
            <w:tcW w:w="4040" w:type="dxa"/>
            <w:tcBorders>
              <w:top w:val="nil"/>
              <w:left w:val="nil"/>
              <w:bottom w:val="nil"/>
              <w:right w:val="nil"/>
            </w:tcBorders>
            <w:shd w:val="clear" w:color="auto" w:fill="auto"/>
            <w:vAlign w:val="center"/>
            <w:hideMark/>
          </w:tcPr>
          <w:p w:rsidR="00494892" w:rsidRPr="00825EF1" w:rsidRDefault="00494892" w:rsidP="007D5115">
            <w:pPr>
              <w:spacing w:line="240" w:lineRule="auto"/>
              <w:rPr>
                <w:color w:val="000000"/>
                <w:szCs w:val="18"/>
              </w:rPr>
            </w:pPr>
            <w:r w:rsidRPr="00825EF1">
              <w:rPr>
                <w:color w:val="000000"/>
                <w:szCs w:val="18"/>
              </w:rPr>
              <w:t>Gemiddeld bedrag</w:t>
            </w:r>
            <w:r w:rsidR="007B7CA5">
              <w:rPr>
                <w:color w:val="000000"/>
                <w:szCs w:val="18"/>
              </w:rPr>
              <w:t xml:space="preserve"> per kind</w:t>
            </w:r>
          </w:p>
        </w:tc>
        <w:tc>
          <w:tcPr>
            <w:tcW w:w="1140" w:type="dxa"/>
            <w:tcBorders>
              <w:top w:val="nil"/>
              <w:left w:val="nil"/>
              <w:bottom w:val="nil"/>
              <w:right w:val="nil"/>
            </w:tcBorders>
            <w:shd w:val="clear" w:color="auto" w:fill="auto"/>
            <w:noWrap/>
            <w:vAlign w:val="center"/>
            <w:hideMark/>
          </w:tcPr>
          <w:p w:rsidR="00494892" w:rsidRPr="00825EF1" w:rsidRDefault="00494892" w:rsidP="007D5115">
            <w:pPr>
              <w:spacing w:line="240" w:lineRule="auto"/>
              <w:jc w:val="center"/>
              <w:rPr>
                <w:color w:val="000000"/>
                <w:szCs w:val="18"/>
              </w:rPr>
            </w:pPr>
            <w:r w:rsidRPr="00825EF1">
              <w:rPr>
                <w:color w:val="000000"/>
                <w:szCs w:val="18"/>
              </w:rPr>
              <w:t>€ 3.550</w:t>
            </w:r>
          </w:p>
        </w:tc>
        <w:tc>
          <w:tcPr>
            <w:tcW w:w="960" w:type="dxa"/>
            <w:tcBorders>
              <w:top w:val="nil"/>
              <w:left w:val="nil"/>
              <w:bottom w:val="nil"/>
              <w:right w:val="nil"/>
            </w:tcBorders>
            <w:shd w:val="clear" w:color="auto" w:fill="auto"/>
            <w:noWrap/>
            <w:vAlign w:val="center"/>
            <w:hideMark/>
          </w:tcPr>
          <w:p w:rsidR="00494892" w:rsidRPr="00825EF1" w:rsidRDefault="00494892" w:rsidP="007D5115">
            <w:pPr>
              <w:spacing w:line="240" w:lineRule="auto"/>
              <w:jc w:val="center"/>
              <w:rPr>
                <w:color w:val="000000"/>
                <w:szCs w:val="18"/>
              </w:rPr>
            </w:pPr>
            <w:r w:rsidRPr="00825EF1">
              <w:rPr>
                <w:color w:val="000000"/>
                <w:szCs w:val="18"/>
              </w:rPr>
              <w:t>€ 3.150</w:t>
            </w:r>
          </w:p>
        </w:tc>
        <w:tc>
          <w:tcPr>
            <w:tcW w:w="960" w:type="dxa"/>
            <w:tcBorders>
              <w:top w:val="nil"/>
              <w:left w:val="nil"/>
              <w:bottom w:val="nil"/>
              <w:right w:val="nil"/>
            </w:tcBorders>
            <w:shd w:val="clear" w:color="000000" w:fill="D9D9D9"/>
            <w:noWrap/>
            <w:vAlign w:val="center"/>
            <w:hideMark/>
          </w:tcPr>
          <w:p w:rsidR="00494892" w:rsidRPr="00825EF1" w:rsidRDefault="00494892" w:rsidP="007D5115">
            <w:pPr>
              <w:spacing w:line="240" w:lineRule="auto"/>
              <w:jc w:val="center"/>
              <w:rPr>
                <w:color w:val="000000"/>
                <w:szCs w:val="18"/>
              </w:rPr>
            </w:pPr>
            <w:r w:rsidRPr="00825EF1">
              <w:rPr>
                <w:color w:val="000000"/>
                <w:szCs w:val="18"/>
              </w:rPr>
              <w:t>€ 2.850</w:t>
            </w:r>
          </w:p>
        </w:tc>
        <w:tc>
          <w:tcPr>
            <w:tcW w:w="960" w:type="dxa"/>
            <w:tcBorders>
              <w:top w:val="nil"/>
              <w:left w:val="nil"/>
              <w:bottom w:val="nil"/>
              <w:right w:val="nil"/>
            </w:tcBorders>
            <w:shd w:val="clear" w:color="auto" w:fill="auto"/>
            <w:noWrap/>
            <w:vAlign w:val="center"/>
            <w:hideMark/>
          </w:tcPr>
          <w:p w:rsidR="00494892" w:rsidRPr="00825EF1" w:rsidRDefault="00494892" w:rsidP="007D5115">
            <w:pPr>
              <w:spacing w:line="240" w:lineRule="auto"/>
              <w:jc w:val="center"/>
              <w:rPr>
                <w:color w:val="000000"/>
                <w:szCs w:val="18"/>
              </w:rPr>
            </w:pPr>
            <w:r w:rsidRPr="00825EF1">
              <w:rPr>
                <w:color w:val="000000"/>
                <w:szCs w:val="18"/>
              </w:rPr>
              <w:t>€ 2.600</w:t>
            </w:r>
          </w:p>
        </w:tc>
        <w:tc>
          <w:tcPr>
            <w:tcW w:w="960" w:type="dxa"/>
            <w:tcBorders>
              <w:top w:val="nil"/>
              <w:left w:val="nil"/>
              <w:bottom w:val="nil"/>
              <w:right w:val="nil"/>
            </w:tcBorders>
            <w:shd w:val="clear" w:color="auto" w:fill="auto"/>
            <w:noWrap/>
            <w:vAlign w:val="center"/>
            <w:hideMark/>
          </w:tcPr>
          <w:p w:rsidR="00494892" w:rsidRPr="00825EF1" w:rsidRDefault="00494892" w:rsidP="007D5115">
            <w:pPr>
              <w:spacing w:line="240" w:lineRule="auto"/>
              <w:jc w:val="center"/>
              <w:rPr>
                <w:color w:val="000000"/>
                <w:szCs w:val="18"/>
              </w:rPr>
            </w:pPr>
            <w:r w:rsidRPr="00825EF1">
              <w:rPr>
                <w:color w:val="000000"/>
                <w:szCs w:val="18"/>
              </w:rPr>
              <w:t>€ 2.400</w:t>
            </w:r>
          </w:p>
        </w:tc>
      </w:tr>
      <w:tr w:rsidR="00494892" w:rsidRPr="00825EF1" w:rsidTr="007D5115">
        <w:trPr>
          <w:trHeight w:val="225"/>
        </w:trPr>
        <w:tc>
          <w:tcPr>
            <w:tcW w:w="4040" w:type="dxa"/>
            <w:tcBorders>
              <w:top w:val="nil"/>
              <w:left w:val="nil"/>
              <w:bottom w:val="nil"/>
              <w:right w:val="nil"/>
            </w:tcBorders>
            <w:shd w:val="clear" w:color="auto" w:fill="auto"/>
            <w:vAlign w:val="center"/>
            <w:hideMark/>
          </w:tcPr>
          <w:p w:rsidR="00494892" w:rsidRPr="00825EF1" w:rsidRDefault="00494892" w:rsidP="007D5115">
            <w:pPr>
              <w:spacing w:line="240" w:lineRule="auto"/>
              <w:rPr>
                <w:color w:val="000000"/>
                <w:szCs w:val="18"/>
              </w:rPr>
            </w:pPr>
            <w:r w:rsidRPr="00825EF1">
              <w:rPr>
                <w:color w:val="000000"/>
                <w:szCs w:val="18"/>
              </w:rPr>
              <w:t>Aantal kinderen</w:t>
            </w:r>
          </w:p>
        </w:tc>
        <w:tc>
          <w:tcPr>
            <w:tcW w:w="1140" w:type="dxa"/>
            <w:tcBorders>
              <w:top w:val="nil"/>
              <w:left w:val="nil"/>
              <w:bottom w:val="nil"/>
              <w:right w:val="nil"/>
            </w:tcBorders>
            <w:shd w:val="clear" w:color="auto" w:fill="auto"/>
            <w:noWrap/>
            <w:vAlign w:val="center"/>
            <w:hideMark/>
          </w:tcPr>
          <w:p w:rsidR="00494892" w:rsidRPr="00825EF1" w:rsidRDefault="00494892" w:rsidP="007D5115">
            <w:pPr>
              <w:spacing w:line="240" w:lineRule="auto"/>
              <w:jc w:val="center"/>
              <w:rPr>
                <w:color w:val="000000"/>
                <w:szCs w:val="18"/>
              </w:rPr>
            </w:pPr>
            <w:r w:rsidRPr="00825EF1">
              <w:rPr>
                <w:color w:val="000000"/>
                <w:szCs w:val="18"/>
              </w:rPr>
              <w:t>135.000</w:t>
            </w:r>
          </w:p>
        </w:tc>
        <w:tc>
          <w:tcPr>
            <w:tcW w:w="960" w:type="dxa"/>
            <w:tcBorders>
              <w:top w:val="nil"/>
              <w:left w:val="nil"/>
              <w:bottom w:val="nil"/>
              <w:right w:val="nil"/>
            </w:tcBorders>
            <w:shd w:val="clear" w:color="auto" w:fill="auto"/>
            <w:noWrap/>
            <w:vAlign w:val="center"/>
            <w:hideMark/>
          </w:tcPr>
          <w:p w:rsidR="00494892" w:rsidRPr="00825EF1" w:rsidRDefault="00494892" w:rsidP="007D5115">
            <w:pPr>
              <w:spacing w:line="240" w:lineRule="auto"/>
              <w:jc w:val="center"/>
              <w:rPr>
                <w:color w:val="000000"/>
                <w:szCs w:val="18"/>
              </w:rPr>
            </w:pPr>
            <w:r w:rsidRPr="00825EF1">
              <w:rPr>
                <w:color w:val="000000"/>
                <w:szCs w:val="18"/>
              </w:rPr>
              <w:t>155.000</w:t>
            </w:r>
          </w:p>
        </w:tc>
        <w:tc>
          <w:tcPr>
            <w:tcW w:w="960" w:type="dxa"/>
            <w:tcBorders>
              <w:top w:val="nil"/>
              <w:left w:val="nil"/>
              <w:bottom w:val="nil"/>
              <w:right w:val="nil"/>
            </w:tcBorders>
            <w:shd w:val="clear" w:color="000000" w:fill="D9D9D9"/>
            <w:noWrap/>
            <w:vAlign w:val="center"/>
            <w:hideMark/>
          </w:tcPr>
          <w:p w:rsidR="00494892" w:rsidRPr="00825EF1" w:rsidRDefault="00494892" w:rsidP="007D5115">
            <w:pPr>
              <w:spacing w:line="240" w:lineRule="auto"/>
              <w:jc w:val="center"/>
              <w:rPr>
                <w:color w:val="000000"/>
                <w:szCs w:val="18"/>
              </w:rPr>
            </w:pPr>
            <w:r w:rsidRPr="00825EF1">
              <w:rPr>
                <w:color w:val="000000"/>
                <w:szCs w:val="18"/>
              </w:rPr>
              <w:t>170.000</w:t>
            </w:r>
          </w:p>
        </w:tc>
        <w:tc>
          <w:tcPr>
            <w:tcW w:w="960" w:type="dxa"/>
            <w:tcBorders>
              <w:top w:val="nil"/>
              <w:left w:val="nil"/>
              <w:bottom w:val="nil"/>
              <w:right w:val="nil"/>
            </w:tcBorders>
            <w:shd w:val="clear" w:color="auto" w:fill="auto"/>
            <w:noWrap/>
            <w:vAlign w:val="center"/>
            <w:hideMark/>
          </w:tcPr>
          <w:p w:rsidR="00494892" w:rsidRPr="00825EF1" w:rsidRDefault="00494892" w:rsidP="007D5115">
            <w:pPr>
              <w:spacing w:line="240" w:lineRule="auto"/>
              <w:jc w:val="center"/>
              <w:rPr>
                <w:color w:val="000000"/>
                <w:szCs w:val="18"/>
              </w:rPr>
            </w:pPr>
            <w:r w:rsidRPr="00825EF1">
              <w:rPr>
                <w:color w:val="000000"/>
                <w:szCs w:val="18"/>
              </w:rPr>
              <w:t>185.000</w:t>
            </w:r>
          </w:p>
        </w:tc>
        <w:tc>
          <w:tcPr>
            <w:tcW w:w="960" w:type="dxa"/>
            <w:tcBorders>
              <w:top w:val="nil"/>
              <w:left w:val="nil"/>
              <w:bottom w:val="nil"/>
              <w:right w:val="nil"/>
            </w:tcBorders>
            <w:shd w:val="clear" w:color="auto" w:fill="auto"/>
            <w:noWrap/>
            <w:vAlign w:val="center"/>
            <w:hideMark/>
          </w:tcPr>
          <w:p w:rsidR="00494892" w:rsidRPr="00825EF1" w:rsidRDefault="00494892" w:rsidP="007D5115">
            <w:pPr>
              <w:spacing w:line="240" w:lineRule="auto"/>
              <w:jc w:val="center"/>
              <w:rPr>
                <w:color w:val="000000"/>
                <w:szCs w:val="18"/>
              </w:rPr>
            </w:pPr>
            <w:r w:rsidRPr="00825EF1">
              <w:rPr>
                <w:color w:val="000000"/>
                <w:szCs w:val="18"/>
              </w:rPr>
              <w:t>205.000</w:t>
            </w:r>
          </w:p>
        </w:tc>
      </w:tr>
    </w:tbl>
    <w:p w:rsidR="00494892" w:rsidRDefault="00494892" w:rsidP="00494892">
      <w:pPr>
        <w:rPr>
          <w:sz w:val="16"/>
          <w:szCs w:val="18"/>
        </w:rPr>
      </w:pPr>
    </w:p>
    <w:p w:rsidR="00494892" w:rsidRDefault="00494892" w:rsidP="00494892">
      <w:pPr>
        <w:rPr>
          <w:sz w:val="16"/>
          <w:szCs w:val="18"/>
        </w:rPr>
      </w:pPr>
      <w:r>
        <w:rPr>
          <w:sz w:val="16"/>
          <w:szCs w:val="18"/>
        </w:rPr>
        <w:t>Figuur 2: Afstelling doelgroep scholen bij drempel van 12 procent</w:t>
      </w:r>
    </w:p>
    <w:tbl>
      <w:tblPr>
        <w:tblW w:w="9020" w:type="dxa"/>
        <w:tblInd w:w="55" w:type="dxa"/>
        <w:tblCellMar>
          <w:left w:w="70" w:type="dxa"/>
          <w:right w:w="70" w:type="dxa"/>
        </w:tblCellMar>
        <w:tblLook w:val="04A0" w:firstRow="1" w:lastRow="0" w:firstColumn="1" w:lastColumn="0" w:noHBand="0" w:noVBand="1"/>
      </w:tblPr>
      <w:tblGrid>
        <w:gridCol w:w="4040"/>
        <w:gridCol w:w="1140"/>
        <w:gridCol w:w="960"/>
        <w:gridCol w:w="960"/>
        <w:gridCol w:w="960"/>
        <w:gridCol w:w="960"/>
      </w:tblGrid>
      <w:tr w:rsidR="00494892" w:rsidRPr="002352CA" w:rsidTr="007D5115">
        <w:trPr>
          <w:trHeight w:val="225"/>
        </w:trPr>
        <w:tc>
          <w:tcPr>
            <w:tcW w:w="4040" w:type="dxa"/>
            <w:tcBorders>
              <w:top w:val="single" w:sz="4" w:space="0" w:color="auto"/>
              <w:left w:val="nil"/>
              <w:bottom w:val="single" w:sz="4" w:space="0" w:color="auto"/>
              <w:right w:val="nil"/>
            </w:tcBorders>
            <w:shd w:val="clear" w:color="auto" w:fill="auto"/>
            <w:noWrap/>
            <w:vAlign w:val="bottom"/>
            <w:hideMark/>
          </w:tcPr>
          <w:p w:rsidR="00494892" w:rsidRPr="002352CA" w:rsidRDefault="00494892" w:rsidP="007D5115">
            <w:pPr>
              <w:spacing w:line="240" w:lineRule="auto"/>
              <w:rPr>
                <w:color w:val="000000"/>
                <w:szCs w:val="18"/>
              </w:rPr>
            </w:pPr>
            <w:r w:rsidRPr="002352CA">
              <w:rPr>
                <w:color w:val="000000"/>
                <w:szCs w:val="18"/>
              </w:rPr>
              <w:t>Doelgroep</w:t>
            </w:r>
          </w:p>
        </w:tc>
        <w:tc>
          <w:tcPr>
            <w:tcW w:w="1140" w:type="dxa"/>
            <w:tcBorders>
              <w:top w:val="single" w:sz="4" w:space="0" w:color="auto"/>
              <w:left w:val="nil"/>
              <w:bottom w:val="single" w:sz="4" w:space="0" w:color="auto"/>
              <w:right w:val="nil"/>
            </w:tcBorders>
            <w:shd w:val="clear" w:color="auto" w:fill="auto"/>
            <w:noWrap/>
            <w:vAlign w:val="bottom"/>
            <w:hideMark/>
          </w:tcPr>
          <w:p w:rsidR="00494892" w:rsidRPr="002352CA" w:rsidRDefault="00494892" w:rsidP="007D5115">
            <w:pPr>
              <w:spacing w:line="240" w:lineRule="auto"/>
              <w:jc w:val="center"/>
              <w:rPr>
                <w:color w:val="000000"/>
                <w:szCs w:val="18"/>
              </w:rPr>
            </w:pPr>
            <w:r w:rsidRPr="002352CA">
              <w:rPr>
                <w:color w:val="000000"/>
                <w:szCs w:val="18"/>
              </w:rPr>
              <w:t>13%</w:t>
            </w:r>
          </w:p>
        </w:tc>
        <w:tc>
          <w:tcPr>
            <w:tcW w:w="960" w:type="dxa"/>
            <w:tcBorders>
              <w:top w:val="single" w:sz="4" w:space="0" w:color="auto"/>
              <w:left w:val="nil"/>
              <w:bottom w:val="single" w:sz="4" w:space="0" w:color="auto"/>
              <w:right w:val="nil"/>
            </w:tcBorders>
            <w:shd w:val="clear" w:color="auto" w:fill="auto"/>
            <w:noWrap/>
            <w:vAlign w:val="bottom"/>
            <w:hideMark/>
          </w:tcPr>
          <w:p w:rsidR="00494892" w:rsidRPr="002352CA" w:rsidRDefault="00494892" w:rsidP="007D5115">
            <w:pPr>
              <w:spacing w:line="240" w:lineRule="auto"/>
              <w:jc w:val="center"/>
              <w:rPr>
                <w:color w:val="000000"/>
                <w:szCs w:val="18"/>
              </w:rPr>
            </w:pPr>
            <w:r w:rsidRPr="002352CA">
              <w:rPr>
                <w:color w:val="000000"/>
                <w:szCs w:val="18"/>
              </w:rPr>
              <w:t>14%</w:t>
            </w:r>
          </w:p>
        </w:tc>
        <w:tc>
          <w:tcPr>
            <w:tcW w:w="960" w:type="dxa"/>
            <w:tcBorders>
              <w:top w:val="single" w:sz="4" w:space="0" w:color="auto"/>
              <w:left w:val="nil"/>
              <w:bottom w:val="single" w:sz="4" w:space="0" w:color="auto"/>
              <w:right w:val="nil"/>
            </w:tcBorders>
            <w:shd w:val="clear" w:color="000000" w:fill="D9D9D9"/>
            <w:noWrap/>
            <w:vAlign w:val="bottom"/>
            <w:hideMark/>
          </w:tcPr>
          <w:p w:rsidR="00494892" w:rsidRPr="002352CA" w:rsidRDefault="00494892" w:rsidP="007D5115">
            <w:pPr>
              <w:spacing w:line="240" w:lineRule="auto"/>
              <w:jc w:val="center"/>
              <w:rPr>
                <w:color w:val="000000"/>
                <w:szCs w:val="18"/>
              </w:rPr>
            </w:pPr>
            <w:r w:rsidRPr="002352CA">
              <w:rPr>
                <w:color w:val="000000"/>
                <w:szCs w:val="18"/>
              </w:rPr>
              <w:t>15%</w:t>
            </w:r>
          </w:p>
        </w:tc>
        <w:tc>
          <w:tcPr>
            <w:tcW w:w="960" w:type="dxa"/>
            <w:tcBorders>
              <w:top w:val="single" w:sz="4" w:space="0" w:color="auto"/>
              <w:left w:val="nil"/>
              <w:bottom w:val="single" w:sz="4" w:space="0" w:color="auto"/>
              <w:right w:val="nil"/>
            </w:tcBorders>
            <w:shd w:val="clear" w:color="auto" w:fill="auto"/>
            <w:noWrap/>
            <w:vAlign w:val="bottom"/>
            <w:hideMark/>
          </w:tcPr>
          <w:p w:rsidR="00494892" w:rsidRPr="002352CA" w:rsidRDefault="00494892" w:rsidP="007D5115">
            <w:pPr>
              <w:spacing w:line="240" w:lineRule="auto"/>
              <w:jc w:val="center"/>
              <w:rPr>
                <w:color w:val="000000"/>
                <w:szCs w:val="18"/>
              </w:rPr>
            </w:pPr>
            <w:r w:rsidRPr="002352CA">
              <w:rPr>
                <w:color w:val="000000"/>
                <w:szCs w:val="18"/>
              </w:rPr>
              <w:t>16%</w:t>
            </w:r>
          </w:p>
        </w:tc>
        <w:tc>
          <w:tcPr>
            <w:tcW w:w="960" w:type="dxa"/>
            <w:tcBorders>
              <w:top w:val="single" w:sz="4" w:space="0" w:color="auto"/>
              <w:left w:val="nil"/>
              <w:bottom w:val="single" w:sz="4" w:space="0" w:color="auto"/>
              <w:right w:val="nil"/>
            </w:tcBorders>
            <w:shd w:val="clear" w:color="auto" w:fill="auto"/>
            <w:noWrap/>
            <w:vAlign w:val="bottom"/>
            <w:hideMark/>
          </w:tcPr>
          <w:p w:rsidR="00494892" w:rsidRPr="002352CA" w:rsidRDefault="00494892" w:rsidP="007D5115">
            <w:pPr>
              <w:spacing w:line="240" w:lineRule="auto"/>
              <w:jc w:val="center"/>
              <w:rPr>
                <w:color w:val="000000"/>
                <w:szCs w:val="18"/>
              </w:rPr>
            </w:pPr>
            <w:r w:rsidRPr="002352CA">
              <w:rPr>
                <w:color w:val="000000"/>
                <w:szCs w:val="18"/>
              </w:rPr>
              <w:t>17%</w:t>
            </w:r>
          </w:p>
        </w:tc>
      </w:tr>
      <w:tr w:rsidR="00494892" w:rsidRPr="002352CA" w:rsidTr="007D5115">
        <w:trPr>
          <w:trHeight w:val="225"/>
        </w:trPr>
        <w:tc>
          <w:tcPr>
            <w:tcW w:w="4040" w:type="dxa"/>
            <w:tcBorders>
              <w:top w:val="nil"/>
              <w:left w:val="nil"/>
              <w:bottom w:val="nil"/>
              <w:right w:val="nil"/>
            </w:tcBorders>
            <w:shd w:val="clear" w:color="auto" w:fill="auto"/>
            <w:vAlign w:val="center"/>
            <w:hideMark/>
          </w:tcPr>
          <w:p w:rsidR="00494892" w:rsidRPr="002352CA" w:rsidRDefault="00494892" w:rsidP="007D5115">
            <w:pPr>
              <w:spacing w:line="240" w:lineRule="auto"/>
              <w:rPr>
                <w:color w:val="000000"/>
                <w:szCs w:val="18"/>
              </w:rPr>
            </w:pPr>
            <w:r w:rsidRPr="002352CA">
              <w:rPr>
                <w:color w:val="000000"/>
                <w:szCs w:val="18"/>
              </w:rPr>
              <w:t>Gemiddeld bedrag</w:t>
            </w:r>
            <w:r>
              <w:rPr>
                <w:color w:val="000000"/>
                <w:szCs w:val="18"/>
              </w:rPr>
              <w:t xml:space="preserve"> per </w:t>
            </w:r>
            <w:r w:rsidR="007B7CA5">
              <w:rPr>
                <w:color w:val="000000"/>
                <w:szCs w:val="18"/>
              </w:rPr>
              <w:t>leerling</w:t>
            </w:r>
          </w:p>
        </w:tc>
        <w:tc>
          <w:tcPr>
            <w:tcW w:w="1140" w:type="dxa"/>
            <w:tcBorders>
              <w:top w:val="nil"/>
              <w:left w:val="nil"/>
              <w:bottom w:val="nil"/>
              <w:right w:val="nil"/>
            </w:tcBorders>
            <w:shd w:val="clear" w:color="auto" w:fill="auto"/>
            <w:noWrap/>
            <w:vAlign w:val="center"/>
            <w:hideMark/>
          </w:tcPr>
          <w:p w:rsidR="00494892" w:rsidRPr="002352CA" w:rsidRDefault="00494892" w:rsidP="007D5115">
            <w:pPr>
              <w:spacing w:line="240" w:lineRule="auto"/>
              <w:jc w:val="center"/>
              <w:rPr>
                <w:color w:val="000000"/>
                <w:szCs w:val="18"/>
              </w:rPr>
            </w:pPr>
            <w:r w:rsidRPr="002352CA">
              <w:rPr>
                <w:color w:val="000000"/>
                <w:szCs w:val="18"/>
              </w:rPr>
              <w:t>€ 3.400</w:t>
            </w:r>
          </w:p>
        </w:tc>
        <w:tc>
          <w:tcPr>
            <w:tcW w:w="960" w:type="dxa"/>
            <w:tcBorders>
              <w:top w:val="nil"/>
              <w:left w:val="nil"/>
              <w:bottom w:val="nil"/>
              <w:right w:val="nil"/>
            </w:tcBorders>
            <w:shd w:val="clear" w:color="auto" w:fill="auto"/>
            <w:noWrap/>
            <w:vAlign w:val="center"/>
            <w:hideMark/>
          </w:tcPr>
          <w:p w:rsidR="00494892" w:rsidRPr="002352CA" w:rsidRDefault="00494892" w:rsidP="007D5115">
            <w:pPr>
              <w:spacing w:line="240" w:lineRule="auto"/>
              <w:jc w:val="center"/>
              <w:rPr>
                <w:color w:val="000000"/>
                <w:szCs w:val="18"/>
              </w:rPr>
            </w:pPr>
            <w:r w:rsidRPr="002352CA">
              <w:rPr>
                <w:color w:val="000000"/>
                <w:szCs w:val="18"/>
              </w:rPr>
              <w:t>€ 3.050</w:t>
            </w:r>
          </w:p>
        </w:tc>
        <w:tc>
          <w:tcPr>
            <w:tcW w:w="960" w:type="dxa"/>
            <w:tcBorders>
              <w:top w:val="nil"/>
              <w:left w:val="nil"/>
              <w:bottom w:val="nil"/>
              <w:right w:val="nil"/>
            </w:tcBorders>
            <w:shd w:val="clear" w:color="000000" w:fill="D9D9D9"/>
            <w:noWrap/>
            <w:vAlign w:val="center"/>
            <w:hideMark/>
          </w:tcPr>
          <w:p w:rsidR="00494892" w:rsidRPr="002352CA" w:rsidRDefault="00494892" w:rsidP="007D5115">
            <w:pPr>
              <w:spacing w:line="240" w:lineRule="auto"/>
              <w:jc w:val="center"/>
              <w:rPr>
                <w:color w:val="000000"/>
                <w:szCs w:val="18"/>
              </w:rPr>
            </w:pPr>
            <w:r w:rsidRPr="002352CA">
              <w:rPr>
                <w:color w:val="000000"/>
                <w:szCs w:val="18"/>
              </w:rPr>
              <w:t>€ 2.750</w:t>
            </w:r>
          </w:p>
        </w:tc>
        <w:tc>
          <w:tcPr>
            <w:tcW w:w="960" w:type="dxa"/>
            <w:tcBorders>
              <w:top w:val="nil"/>
              <w:left w:val="nil"/>
              <w:bottom w:val="nil"/>
              <w:right w:val="nil"/>
            </w:tcBorders>
            <w:shd w:val="clear" w:color="auto" w:fill="auto"/>
            <w:noWrap/>
            <w:vAlign w:val="center"/>
            <w:hideMark/>
          </w:tcPr>
          <w:p w:rsidR="00494892" w:rsidRPr="002352CA" w:rsidRDefault="00494892" w:rsidP="007D5115">
            <w:pPr>
              <w:spacing w:line="240" w:lineRule="auto"/>
              <w:jc w:val="center"/>
              <w:rPr>
                <w:color w:val="000000"/>
                <w:szCs w:val="18"/>
              </w:rPr>
            </w:pPr>
            <w:r w:rsidRPr="002352CA">
              <w:rPr>
                <w:color w:val="000000"/>
                <w:szCs w:val="18"/>
              </w:rPr>
              <w:t>€ 2.500</w:t>
            </w:r>
          </w:p>
        </w:tc>
        <w:tc>
          <w:tcPr>
            <w:tcW w:w="960" w:type="dxa"/>
            <w:tcBorders>
              <w:top w:val="nil"/>
              <w:left w:val="nil"/>
              <w:bottom w:val="nil"/>
              <w:right w:val="nil"/>
            </w:tcBorders>
            <w:shd w:val="clear" w:color="auto" w:fill="auto"/>
            <w:noWrap/>
            <w:vAlign w:val="center"/>
            <w:hideMark/>
          </w:tcPr>
          <w:p w:rsidR="00494892" w:rsidRPr="002352CA" w:rsidRDefault="00494892" w:rsidP="007D5115">
            <w:pPr>
              <w:spacing w:line="240" w:lineRule="auto"/>
              <w:jc w:val="center"/>
              <w:rPr>
                <w:color w:val="000000"/>
                <w:szCs w:val="18"/>
              </w:rPr>
            </w:pPr>
            <w:r w:rsidRPr="002352CA">
              <w:rPr>
                <w:color w:val="000000"/>
                <w:szCs w:val="18"/>
              </w:rPr>
              <w:t>€ 2.300</w:t>
            </w:r>
          </w:p>
        </w:tc>
      </w:tr>
      <w:tr w:rsidR="00494892" w:rsidRPr="002352CA" w:rsidTr="007D5115">
        <w:trPr>
          <w:trHeight w:val="225"/>
        </w:trPr>
        <w:tc>
          <w:tcPr>
            <w:tcW w:w="4040" w:type="dxa"/>
            <w:tcBorders>
              <w:top w:val="nil"/>
              <w:left w:val="nil"/>
              <w:bottom w:val="nil"/>
              <w:right w:val="nil"/>
            </w:tcBorders>
            <w:shd w:val="clear" w:color="auto" w:fill="auto"/>
            <w:vAlign w:val="center"/>
            <w:hideMark/>
          </w:tcPr>
          <w:p w:rsidR="00494892" w:rsidRPr="002352CA" w:rsidRDefault="00494892" w:rsidP="007D5115">
            <w:pPr>
              <w:spacing w:line="240" w:lineRule="auto"/>
              <w:rPr>
                <w:color w:val="000000"/>
                <w:szCs w:val="18"/>
              </w:rPr>
            </w:pPr>
            <w:r w:rsidRPr="002352CA">
              <w:rPr>
                <w:color w:val="000000"/>
                <w:szCs w:val="18"/>
              </w:rPr>
              <w:t>Aantal kinderen</w:t>
            </w:r>
          </w:p>
        </w:tc>
        <w:tc>
          <w:tcPr>
            <w:tcW w:w="1140" w:type="dxa"/>
            <w:tcBorders>
              <w:top w:val="nil"/>
              <w:left w:val="nil"/>
              <w:bottom w:val="nil"/>
              <w:right w:val="nil"/>
            </w:tcBorders>
            <w:shd w:val="clear" w:color="auto" w:fill="auto"/>
            <w:noWrap/>
            <w:vAlign w:val="center"/>
            <w:hideMark/>
          </w:tcPr>
          <w:p w:rsidR="00494892" w:rsidRPr="002352CA" w:rsidRDefault="00494892" w:rsidP="007D5115">
            <w:pPr>
              <w:spacing w:line="240" w:lineRule="auto"/>
              <w:jc w:val="center"/>
              <w:rPr>
                <w:color w:val="000000"/>
                <w:szCs w:val="18"/>
              </w:rPr>
            </w:pPr>
            <w:r w:rsidRPr="002352CA">
              <w:rPr>
                <w:color w:val="000000"/>
                <w:szCs w:val="18"/>
              </w:rPr>
              <w:t>80.000</w:t>
            </w:r>
          </w:p>
        </w:tc>
        <w:tc>
          <w:tcPr>
            <w:tcW w:w="960" w:type="dxa"/>
            <w:tcBorders>
              <w:top w:val="nil"/>
              <w:left w:val="nil"/>
              <w:bottom w:val="nil"/>
              <w:right w:val="nil"/>
            </w:tcBorders>
            <w:shd w:val="clear" w:color="auto" w:fill="auto"/>
            <w:noWrap/>
            <w:vAlign w:val="center"/>
            <w:hideMark/>
          </w:tcPr>
          <w:p w:rsidR="00494892" w:rsidRPr="002352CA" w:rsidRDefault="00494892" w:rsidP="007D5115">
            <w:pPr>
              <w:spacing w:line="240" w:lineRule="auto"/>
              <w:jc w:val="center"/>
              <w:rPr>
                <w:color w:val="000000"/>
                <w:szCs w:val="18"/>
              </w:rPr>
            </w:pPr>
            <w:r w:rsidRPr="002352CA">
              <w:rPr>
                <w:color w:val="000000"/>
                <w:szCs w:val="18"/>
              </w:rPr>
              <w:t>90.000</w:t>
            </w:r>
          </w:p>
        </w:tc>
        <w:tc>
          <w:tcPr>
            <w:tcW w:w="960" w:type="dxa"/>
            <w:tcBorders>
              <w:top w:val="nil"/>
              <w:left w:val="nil"/>
              <w:bottom w:val="nil"/>
              <w:right w:val="nil"/>
            </w:tcBorders>
            <w:shd w:val="clear" w:color="000000" w:fill="D9D9D9"/>
            <w:noWrap/>
            <w:vAlign w:val="center"/>
            <w:hideMark/>
          </w:tcPr>
          <w:p w:rsidR="00494892" w:rsidRPr="002352CA" w:rsidRDefault="00494892" w:rsidP="007D5115">
            <w:pPr>
              <w:spacing w:line="240" w:lineRule="auto"/>
              <w:jc w:val="center"/>
              <w:rPr>
                <w:color w:val="000000"/>
                <w:szCs w:val="18"/>
              </w:rPr>
            </w:pPr>
            <w:r w:rsidRPr="002352CA">
              <w:rPr>
                <w:color w:val="000000"/>
                <w:szCs w:val="18"/>
              </w:rPr>
              <w:t>100.000</w:t>
            </w:r>
          </w:p>
        </w:tc>
        <w:tc>
          <w:tcPr>
            <w:tcW w:w="960" w:type="dxa"/>
            <w:tcBorders>
              <w:top w:val="nil"/>
              <w:left w:val="nil"/>
              <w:bottom w:val="nil"/>
              <w:right w:val="nil"/>
            </w:tcBorders>
            <w:shd w:val="clear" w:color="auto" w:fill="auto"/>
            <w:noWrap/>
            <w:vAlign w:val="center"/>
            <w:hideMark/>
          </w:tcPr>
          <w:p w:rsidR="00494892" w:rsidRPr="002352CA" w:rsidRDefault="00494892" w:rsidP="007D5115">
            <w:pPr>
              <w:spacing w:line="240" w:lineRule="auto"/>
              <w:jc w:val="center"/>
              <w:rPr>
                <w:color w:val="000000"/>
                <w:szCs w:val="18"/>
              </w:rPr>
            </w:pPr>
            <w:r w:rsidRPr="002352CA">
              <w:rPr>
                <w:color w:val="000000"/>
                <w:szCs w:val="18"/>
              </w:rPr>
              <w:t>110.000</w:t>
            </w:r>
          </w:p>
        </w:tc>
        <w:tc>
          <w:tcPr>
            <w:tcW w:w="960" w:type="dxa"/>
            <w:tcBorders>
              <w:top w:val="nil"/>
              <w:left w:val="nil"/>
              <w:bottom w:val="nil"/>
              <w:right w:val="nil"/>
            </w:tcBorders>
            <w:shd w:val="clear" w:color="auto" w:fill="auto"/>
            <w:noWrap/>
            <w:vAlign w:val="center"/>
            <w:hideMark/>
          </w:tcPr>
          <w:p w:rsidR="00494892" w:rsidRPr="002352CA" w:rsidRDefault="00494892" w:rsidP="007D5115">
            <w:pPr>
              <w:spacing w:line="240" w:lineRule="auto"/>
              <w:jc w:val="center"/>
              <w:rPr>
                <w:color w:val="000000"/>
                <w:szCs w:val="18"/>
              </w:rPr>
            </w:pPr>
            <w:r w:rsidRPr="002352CA">
              <w:rPr>
                <w:color w:val="000000"/>
                <w:szCs w:val="18"/>
              </w:rPr>
              <w:t>120.000</w:t>
            </w:r>
          </w:p>
        </w:tc>
      </w:tr>
    </w:tbl>
    <w:p w:rsidR="00494892" w:rsidRDefault="00494892" w:rsidP="00494892">
      <w:pPr>
        <w:rPr>
          <w:sz w:val="16"/>
          <w:szCs w:val="18"/>
        </w:rPr>
      </w:pPr>
    </w:p>
    <w:p w:rsidR="00494892" w:rsidRPr="00C01F6A" w:rsidRDefault="00494892" w:rsidP="00494892">
      <w:pPr>
        <w:rPr>
          <w:sz w:val="16"/>
          <w:szCs w:val="18"/>
        </w:rPr>
      </w:pPr>
      <w:r w:rsidRPr="00C01F6A">
        <w:rPr>
          <w:sz w:val="16"/>
          <w:szCs w:val="18"/>
        </w:rPr>
        <w:t xml:space="preserve">Figuur </w:t>
      </w:r>
      <w:r>
        <w:rPr>
          <w:sz w:val="16"/>
          <w:szCs w:val="18"/>
        </w:rPr>
        <w:t>3</w:t>
      </w:r>
      <w:r w:rsidRPr="00C01F6A">
        <w:rPr>
          <w:sz w:val="16"/>
          <w:szCs w:val="18"/>
        </w:rPr>
        <w:t>: Afstelling drempel gemeenten bij doelgroep van 15</w:t>
      </w:r>
      <w:r>
        <w:rPr>
          <w:sz w:val="16"/>
          <w:szCs w:val="18"/>
        </w:rPr>
        <w:t xml:space="preserve"> procent</w:t>
      </w:r>
    </w:p>
    <w:tbl>
      <w:tblPr>
        <w:tblW w:w="9020" w:type="dxa"/>
        <w:tblCellMar>
          <w:left w:w="70" w:type="dxa"/>
          <w:right w:w="70" w:type="dxa"/>
        </w:tblCellMar>
        <w:tblLook w:val="04A0" w:firstRow="1" w:lastRow="0" w:firstColumn="1" w:lastColumn="0" w:noHBand="0" w:noVBand="1"/>
      </w:tblPr>
      <w:tblGrid>
        <w:gridCol w:w="4040"/>
        <w:gridCol w:w="1140"/>
        <w:gridCol w:w="960"/>
        <w:gridCol w:w="960"/>
        <w:gridCol w:w="960"/>
        <w:gridCol w:w="960"/>
      </w:tblGrid>
      <w:tr w:rsidR="00494892" w:rsidRPr="00825EF1" w:rsidTr="007D5115">
        <w:trPr>
          <w:trHeight w:val="225"/>
        </w:trPr>
        <w:tc>
          <w:tcPr>
            <w:tcW w:w="4040" w:type="dxa"/>
            <w:tcBorders>
              <w:top w:val="single" w:sz="4" w:space="0" w:color="auto"/>
              <w:left w:val="nil"/>
              <w:bottom w:val="single" w:sz="4" w:space="0" w:color="auto"/>
              <w:right w:val="nil"/>
            </w:tcBorders>
            <w:shd w:val="clear" w:color="auto" w:fill="auto"/>
            <w:noWrap/>
            <w:vAlign w:val="bottom"/>
            <w:hideMark/>
          </w:tcPr>
          <w:p w:rsidR="00494892" w:rsidRPr="00825EF1" w:rsidRDefault="00494892" w:rsidP="007D5115">
            <w:pPr>
              <w:spacing w:line="240" w:lineRule="auto"/>
              <w:rPr>
                <w:color w:val="000000"/>
                <w:szCs w:val="18"/>
              </w:rPr>
            </w:pPr>
            <w:r w:rsidRPr="00825EF1">
              <w:rPr>
                <w:color w:val="000000"/>
                <w:szCs w:val="18"/>
              </w:rPr>
              <w:t>Drempel</w:t>
            </w:r>
          </w:p>
        </w:tc>
        <w:tc>
          <w:tcPr>
            <w:tcW w:w="1140" w:type="dxa"/>
            <w:tcBorders>
              <w:top w:val="single" w:sz="4" w:space="0" w:color="auto"/>
              <w:left w:val="nil"/>
              <w:bottom w:val="single" w:sz="4" w:space="0" w:color="auto"/>
              <w:right w:val="nil"/>
            </w:tcBorders>
            <w:shd w:val="clear" w:color="auto" w:fill="auto"/>
            <w:noWrap/>
            <w:vAlign w:val="bottom"/>
            <w:hideMark/>
          </w:tcPr>
          <w:p w:rsidR="00494892" w:rsidRPr="00825EF1" w:rsidRDefault="00494892" w:rsidP="007D5115">
            <w:pPr>
              <w:spacing w:line="240" w:lineRule="auto"/>
              <w:jc w:val="center"/>
              <w:rPr>
                <w:color w:val="000000"/>
                <w:szCs w:val="18"/>
              </w:rPr>
            </w:pPr>
            <w:r w:rsidRPr="00825EF1">
              <w:rPr>
                <w:color w:val="000000"/>
                <w:szCs w:val="18"/>
              </w:rPr>
              <w:t>3%</w:t>
            </w:r>
          </w:p>
        </w:tc>
        <w:tc>
          <w:tcPr>
            <w:tcW w:w="960" w:type="dxa"/>
            <w:tcBorders>
              <w:top w:val="single" w:sz="4" w:space="0" w:color="auto"/>
              <w:left w:val="nil"/>
              <w:bottom w:val="single" w:sz="4" w:space="0" w:color="auto"/>
              <w:right w:val="nil"/>
            </w:tcBorders>
            <w:shd w:val="clear" w:color="auto" w:fill="auto"/>
            <w:noWrap/>
            <w:vAlign w:val="bottom"/>
            <w:hideMark/>
          </w:tcPr>
          <w:p w:rsidR="00494892" w:rsidRPr="00825EF1" w:rsidRDefault="00494892" w:rsidP="007D5115">
            <w:pPr>
              <w:spacing w:line="240" w:lineRule="auto"/>
              <w:jc w:val="center"/>
              <w:rPr>
                <w:color w:val="000000"/>
                <w:szCs w:val="18"/>
              </w:rPr>
            </w:pPr>
            <w:r w:rsidRPr="00825EF1">
              <w:rPr>
                <w:color w:val="000000"/>
                <w:szCs w:val="18"/>
              </w:rPr>
              <w:t>4%</w:t>
            </w:r>
          </w:p>
        </w:tc>
        <w:tc>
          <w:tcPr>
            <w:tcW w:w="960" w:type="dxa"/>
            <w:tcBorders>
              <w:top w:val="single" w:sz="4" w:space="0" w:color="auto"/>
              <w:left w:val="nil"/>
              <w:bottom w:val="single" w:sz="4" w:space="0" w:color="auto"/>
              <w:right w:val="nil"/>
            </w:tcBorders>
            <w:shd w:val="clear" w:color="000000" w:fill="D9D9D9"/>
            <w:noWrap/>
            <w:vAlign w:val="bottom"/>
            <w:hideMark/>
          </w:tcPr>
          <w:p w:rsidR="00494892" w:rsidRPr="00825EF1" w:rsidRDefault="00494892" w:rsidP="007D5115">
            <w:pPr>
              <w:spacing w:line="240" w:lineRule="auto"/>
              <w:jc w:val="center"/>
              <w:rPr>
                <w:color w:val="000000"/>
                <w:szCs w:val="18"/>
              </w:rPr>
            </w:pPr>
            <w:r w:rsidRPr="00825EF1">
              <w:rPr>
                <w:color w:val="000000"/>
                <w:szCs w:val="18"/>
              </w:rPr>
              <w:t>5%</w:t>
            </w:r>
          </w:p>
        </w:tc>
        <w:tc>
          <w:tcPr>
            <w:tcW w:w="960" w:type="dxa"/>
            <w:tcBorders>
              <w:top w:val="single" w:sz="4" w:space="0" w:color="auto"/>
              <w:left w:val="nil"/>
              <w:bottom w:val="single" w:sz="4" w:space="0" w:color="auto"/>
              <w:right w:val="nil"/>
            </w:tcBorders>
            <w:shd w:val="clear" w:color="auto" w:fill="auto"/>
            <w:noWrap/>
            <w:vAlign w:val="bottom"/>
            <w:hideMark/>
          </w:tcPr>
          <w:p w:rsidR="00494892" w:rsidRPr="00825EF1" w:rsidRDefault="00494892" w:rsidP="007D5115">
            <w:pPr>
              <w:spacing w:line="240" w:lineRule="auto"/>
              <w:jc w:val="center"/>
              <w:rPr>
                <w:color w:val="000000"/>
                <w:szCs w:val="18"/>
              </w:rPr>
            </w:pPr>
            <w:r w:rsidRPr="00825EF1">
              <w:rPr>
                <w:color w:val="000000"/>
                <w:szCs w:val="18"/>
              </w:rPr>
              <w:t>6%</w:t>
            </w:r>
          </w:p>
        </w:tc>
        <w:tc>
          <w:tcPr>
            <w:tcW w:w="960" w:type="dxa"/>
            <w:tcBorders>
              <w:top w:val="single" w:sz="4" w:space="0" w:color="auto"/>
              <w:left w:val="nil"/>
              <w:bottom w:val="single" w:sz="4" w:space="0" w:color="auto"/>
              <w:right w:val="nil"/>
            </w:tcBorders>
            <w:shd w:val="clear" w:color="auto" w:fill="auto"/>
            <w:noWrap/>
            <w:vAlign w:val="bottom"/>
            <w:hideMark/>
          </w:tcPr>
          <w:p w:rsidR="00494892" w:rsidRPr="00825EF1" w:rsidRDefault="00494892" w:rsidP="007D5115">
            <w:pPr>
              <w:spacing w:line="240" w:lineRule="auto"/>
              <w:jc w:val="center"/>
              <w:rPr>
                <w:color w:val="000000"/>
                <w:szCs w:val="18"/>
              </w:rPr>
            </w:pPr>
            <w:r w:rsidRPr="00825EF1">
              <w:rPr>
                <w:color w:val="000000"/>
                <w:szCs w:val="18"/>
              </w:rPr>
              <w:t>7%</w:t>
            </w:r>
          </w:p>
        </w:tc>
      </w:tr>
      <w:tr w:rsidR="00494892" w:rsidRPr="00825EF1" w:rsidTr="007D5115">
        <w:trPr>
          <w:trHeight w:val="225"/>
        </w:trPr>
        <w:tc>
          <w:tcPr>
            <w:tcW w:w="4040" w:type="dxa"/>
            <w:tcBorders>
              <w:top w:val="nil"/>
              <w:left w:val="nil"/>
              <w:bottom w:val="nil"/>
              <w:right w:val="nil"/>
            </w:tcBorders>
            <w:shd w:val="clear" w:color="auto" w:fill="auto"/>
            <w:noWrap/>
            <w:vAlign w:val="bottom"/>
            <w:hideMark/>
          </w:tcPr>
          <w:p w:rsidR="00494892" w:rsidRPr="00825EF1" w:rsidRDefault="00494892" w:rsidP="007D5115">
            <w:pPr>
              <w:spacing w:line="240" w:lineRule="auto"/>
              <w:rPr>
                <w:color w:val="000000"/>
                <w:szCs w:val="18"/>
              </w:rPr>
            </w:pPr>
            <w:r w:rsidRPr="00825EF1">
              <w:rPr>
                <w:color w:val="000000"/>
                <w:szCs w:val="18"/>
              </w:rPr>
              <w:t>Gemiddeld bedrag</w:t>
            </w:r>
            <w:r w:rsidR="007B7CA5">
              <w:rPr>
                <w:color w:val="000000"/>
                <w:szCs w:val="18"/>
              </w:rPr>
              <w:t xml:space="preserve"> per kind</w:t>
            </w:r>
          </w:p>
        </w:tc>
        <w:tc>
          <w:tcPr>
            <w:tcW w:w="1140" w:type="dxa"/>
            <w:tcBorders>
              <w:top w:val="nil"/>
              <w:left w:val="nil"/>
              <w:bottom w:val="nil"/>
              <w:right w:val="nil"/>
            </w:tcBorders>
            <w:shd w:val="clear" w:color="auto" w:fill="auto"/>
            <w:noWrap/>
            <w:vAlign w:val="center"/>
            <w:hideMark/>
          </w:tcPr>
          <w:p w:rsidR="00494892" w:rsidRPr="00825EF1" w:rsidRDefault="00494892" w:rsidP="007D5115">
            <w:pPr>
              <w:spacing w:line="240" w:lineRule="auto"/>
              <w:jc w:val="center"/>
              <w:rPr>
                <w:color w:val="000000"/>
                <w:szCs w:val="18"/>
              </w:rPr>
            </w:pPr>
            <w:r w:rsidRPr="00825EF1">
              <w:rPr>
                <w:color w:val="000000"/>
                <w:szCs w:val="18"/>
              </w:rPr>
              <w:t>€ 2.400</w:t>
            </w:r>
          </w:p>
        </w:tc>
        <w:tc>
          <w:tcPr>
            <w:tcW w:w="960" w:type="dxa"/>
            <w:tcBorders>
              <w:top w:val="nil"/>
              <w:left w:val="nil"/>
              <w:bottom w:val="nil"/>
              <w:right w:val="nil"/>
            </w:tcBorders>
            <w:shd w:val="clear" w:color="auto" w:fill="auto"/>
            <w:noWrap/>
            <w:vAlign w:val="center"/>
            <w:hideMark/>
          </w:tcPr>
          <w:p w:rsidR="00494892" w:rsidRPr="00825EF1" w:rsidRDefault="00494892" w:rsidP="007D5115">
            <w:pPr>
              <w:spacing w:line="240" w:lineRule="auto"/>
              <w:jc w:val="center"/>
              <w:rPr>
                <w:color w:val="000000"/>
                <w:szCs w:val="18"/>
              </w:rPr>
            </w:pPr>
            <w:r w:rsidRPr="00825EF1">
              <w:rPr>
                <w:color w:val="000000"/>
                <w:szCs w:val="18"/>
              </w:rPr>
              <w:t>€ 2.600</w:t>
            </w:r>
          </w:p>
        </w:tc>
        <w:tc>
          <w:tcPr>
            <w:tcW w:w="960" w:type="dxa"/>
            <w:tcBorders>
              <w:top w:val="nil"/>
              <w:left w:val="nil"/>
              <w:bottom w:val="nil"/>
              <w:right w:val="nil"/>
            </w:tcBorders>
            <w:shd w:val="clear" w:color="000000" w:fill="D9D9D9"/>
            <w:noWrap/>
            <w:vAlign w:val="center"/>
            <w:hideMark/>
          </w:tcPr>
          <w:p w:rsidR="00494892" w:rsidRPr="00825EF1" w:rsidRDefault="00494892" w:rsidP="007D5115">
            <w:pPr>
              <w:spacing w:line="240" w:lineRule="auto"/>
              <w:jc w:val="center"/>
              <w:rPr>
                <w:color w:val="000000"/>
                <w:szCs w:val="18"/>
              </w:rPr>
            </w:pPr>
            <w:r w:rsidRPr="00825EF1">
              <w:rPr>
                <w:color w:val="000000"/>
                <w:szCs w:val="18"/>
              </w:rPr>
              <w:t>€ 2.850</w:t>
            </w:r>
          </w:p>
        </w:tc>
        <w:tc>
          <w:tcPr>
            <w:tcW w:w="960" w:type="dxa"/>
            <w:tcBorders>
              <w:top w:val="nil"/>
              <w:left w:val="nil"/>
              <w:bottom w:val="nil"/>
              <w:right w:val="nil"/>
            </w:tcBorders>
            <w:shd w:val="clear" w:color="auto" w:fill="auto"/>
            <w:noWrap/>
            <w:vAlign w:val="center"/>
            <w:hideMark/>
          </w:tcPr>
          <w:p w:rsidR="00494892" w:rsidRPr="00825EF1" w:rsidRDefault="00494892" w:rsidP="007D5115">
            <w:pPr>
              <w:spacing w:line="240" w:lineRule="auto"/>
              <w:jc w:val="center"/>
              <w:rPr>
                <w:color w:val="000000"/>
                <w:szCs w:val="18"/>
              </w:rPr>
            </w:pPr>
            <w:r w:rsidRPr="00825EF1">
              <w:rPr>
                <w:color w:val="000000"/>
                <w:szCs w:val="18"/>
              </w:rPr>
              <w:t>€ 3.150</w:t>
            </w:r>
          </w:p>
        </w:tc>
        <w:tc>
          <w:tcPr>
            <w:tcW w:w="960" w:type="dxa"/>
            <w:tcBorders>
              <w:top w:val="nil"/>
              <w:left w:val="nil"/>
              <w:bottom w:val="nil"/>
              <w:right w:val="nil"/>
            </w:tcBorders>
            <w:shd w:val="clear" w:color="auto" w:fill="auto"/>
            <w:noWrap/>
            <w:vAlign w:val="center"/>
            <w:hideMark/>
          </w:tcPr>
          <w:p w:rsidR="00494892" w:rsidRPr="00825EF1" w:rsidRDefault="00494892" w:rsidP="007D5115">
            <w:pPr>
              <w:spacing w:line="240" w:lineRule="auto"/>
              <w:jc w:val="center"/>
              <w:rPr>
                <w:color w:val="000000"/>
                <w:szCs w:val="18"/>
              </w:rPr>
            </w:pPr>
            <w:r w:rsidRPr="00825EF1">
              <w:rPr>
                <w:color w:val="000000"/>
                <w:szCs w:val="18"/>
              </w:rPr>
              <w:t>€ 3.500</w:t>
            </w:r>
          </w:p>
        </w:tc>
      </w:tr>
      <w:tr w:rsidR="00494892" w:rsidRPr="00825EF1" w:rsidTr="007D5115">
        <w:trPr>
          <w:trHeight w:val="225"/>
        </w:trPr>
        <w:tc>
          <w:tcPr>
            <w:tcW w:w="4040" w:type="dxa"/>
            <w:tcBorders>
              <w:top w:val="nil"/>
              <w:left w:val="nil"/>
              <w:bottom w:val="nil"/>
              <w:right w:val="nil"/>
            </w:tcBorders>
            <w:shd w:val="clear" w:color="auto" w:fill="auto"/>
            <w:noWrap/>
            <w:vAlign w:val="bottom"/>
            <w:hideMark/>
          </w:tcPr>
          <w:p w:rsidR="00494892" w:rsidRPr="00825EF1" w:rsidRDefault="00494892" w:rsidP="007D5115">
            <w:pPr>
              <w:spacing w:line="240" w:lineRule="auto"/>
              <w:rPr>
                <w:color w:val="000000"/>
                <w:szCs w:val="18"/>
              </w:rPr>
            </w:pPr>
            <w:r w:rsidRPr="00825EF1">
              <w:rPr>
                <w:color w:val="000000"/>
                <w:szCs w:val="18"/>
              </w:rPr>
              <w:t>Aantal kinderen</w:t>
            </w:r>
          </w:p>
        </w:tc>
        <w:tc>
          <w:tcPr>
            <w:tcW w:w="1140" w:type="dxa"/>
            <w:tcBorders>
              <w:top w:val="nil"/>
              <w:left w:val="nil"/>
              <w:bottom w:val="nil"/>
              <w:right w:val="nil"/>
            </w:tcBorders>
            <w:shd w:val="clear" w:color="auto" w:fill="auto"/>
            <w:noWrap/>
            <w:vAlign w:val="center"/>
            <w:hideMark/>
          </w:tcPr>
          <w:p w:rsidR="00494892" w:rsidRPr="00825EF1" w:rsidRDefault="00494892" w:rsidP="007D5115">
            <w:pPr>
              <w:spacing w:line="240" w:lineRule="auto"/>
              <w:jc w:val="center"/>
              <w:rPr>
                <w:color w:val="000000"/>
                <w:szCs w:val="18"/>
              </w:rPr>
            </w:pPr>
            <w:r w:rsidRPr="00825EF1">
              <w:rPr>
                <w:color w:val="000000"/>
                <w:szCs w:val="18"/>
              </w:rPr>
              <w:t>205.000</w:t>
            </w:r>
          </w:p>
        </w:tc>
        <w:tc>
          <w:tcPr>
            <w:tcW w:w="960" w:type="dxa"/>
            <w:tcBorders>
              <w:top w:val="nil"/>
              <w:left w:val="nil"/>
              <w:bottom w:val="nil"/>
              <w:right w:val="nil"/>
            </w:tcBorders>
            <w:shd w:val="clear" w:color="auto" w:fill="auto"/>
            <w:noWrap/>
            <w:vAlign w:val="center"/>
            <w:hideMark/>
          </w:tcPr>
          <w:p w:rsidR="00494892" w:rsidRPr="00825EF1" w:rsidRDefault="00494892" w:rsidP="007D5115">
            <w:pPr>
              <w:spacing w:line="240" w:lineRule="auto"/>
              <w:jc w:val="center"/>
              <w:rPr>
                <w:color w:val="000000"/>
                <w:szCs w:val="18"/>
              </w:rPr>
            </w:pPr>
            <w:r w:rsidRPr="00825EF1">
              <w:rPr>
                <w:color w:val="000000"/>
                <w:szCs w:val="18"/>
              </w:rPr>
              <w:t>185.000</w:t>
            </w:r>
          </w:p>
        </w:tc>
        <w:tc>
          <w:tcPr>
            <w:tcW w:w="960" w:type="dxa"/>
            <w:tcBorders>
              <w:top w:val="nil"/>
              <w:left w:val="nil"/>
              <w:bottom w:val="nil"/>
              <w:right w:val="nil"/>
            </w:tcBorders>
            <w:shd w:val="clear" w:color="000000" w:fill="D9D9D9"/>
            <w:noWrap/>
            <w:vAlign w:val="center"/>
            <w:hideMark/>
          </w:tcPr>
          <w:p w:rsidR="00494892" w:rsidRPr="00825EF1" w:rsidRDefault="00494892" w:rsidP="007D5115">
            <w:pPr>
              <w:spacing w:line="240" w:lineRule="auto"/>
              <w:jc w:val="center"/>
              <w:rPr>
                <w:color w:val="000000"/>
                <w:szCs w:val="18"/>
              </w:rPr>
            </w:pPr>
            <w:r w:rsidRPr="00825EF1">
              <w:rPr>
                <w:color w:val="000000"/>
                <w:szCs w:val="18"/>
              </w:rPr>
              <w:t>170.000</w:t>
            </w:r>
          </w:p>
        </w:tc>
        <w:tc>
          <w:tcPr>
            <w:tcW w:w="960" w:type="dxa"/>
            <w:tcBorders>
              <w:top w:val="nil"/>
              <w:left w:val="nil"/>
              <w:bottom w:val="nil"/>
              <w:right w:val="nil"/>
            </w:tcBorders>
            <w:shd w:val="clear" w:color="auto" w:fill="auto"/>
            <w:noWrap/>
            <w:vAlign w:val="center"/>
            <w:hideMark/>
          </w:tcPr>
          <w:p w:rsidR="00494892" w:rsidRPr="00825EF1" w:rsidRDefault="00494892" w:rsidP="007D5115">
            <w:pPr>
              <w:spacing w:line="240" w:lineRule="auto"/>
              <w:jc w:val="center"/>
              <w:rPr>
                <w:color w:val="000000"/>
                <w:szCs w:val="18"/>
              </w:rPr>
            </w:pPr>
            <w:r w:rsidRPr="00825EF1">
              <w:rPr>
                <w:color w:val="000000"/>
                <w:szCs w:val="18"/>
              </w:rPr>
              <w:t>155.000</w:t>
            </w:r>
          </w:p>
        </w:tc>
        <w:tc>
          <w:tcPr>
            <w:tcW w:w="960" w:type="dxa"/>
            <w:tcBorders>
              <w:top w:val="nil"/>
              <w:left w:val="nil"/>
              <w:bottom w:val="nil"/>
              <w:right w:val="nil"/>
            </w:tcBorders>
            <w:shd w:val="clear" w:color="auto" w:fill="auto"/>
            <w:noWrap/>
            <w:vAlign w:val="center"/>
            <w:hideMark/>
          </w:tcPr>
          <w:p w:rsidR="00494892" w:rsidRPr="00825EF1" w:rsidRDefault="00494892" w:rsidP="007D5115">
            <w:pPr>
              <w:spacing w:line="240" w:lineRule="auto"/>
              <w:jc w:val="center"/>
              <w:rPr>
                <w:color w:val="000000"/>
                <w:szCs w:val="18"/>
              </w:rPr>
            </w:pPr>
            <w:r w:rsidRPr="00825EF1">
              <w:rPr>
                <w:color w:val="000000"/>
                <w:szCs w:val="18"/>
              </w:rPr>
              <w:t>140.000</w:t>
            </w:r>
          </w:p>
        </w:tc>
      </w:tr>
    </w:tbl>
    <w:p w:rsidR="00494892" w:rsidRDefault="00494892" w:rsidP="00494892">
      <w:pPr>
        <w:rPr>
          <w:szCs w:val="18"/>
        </w:rPr>
      </w:pPr>
    </w:p>
    <w:p w:rsidR="00494892" w:rsidRPr="00C01F6A" w:rsidRDefault="00494892" w:rsidP="00494892">
      <w:pPr>
        <w:rPr>
          <w:sz w:val="16"/>
          <w:szCs w:val="18"/>
        </w:rPr>
      </w:pPr>
      <w:r w:rsidRPr="00C01F6A">
        <w:rPr>
          <w:sz w:val="16"/>
          <w:szCs w:val="18"/>
        </w:rPr>
        <w:t xml:space="preserve">Figuur </w:t>
      </w:r>
      <w:r>
        <w:rPr>
          <w:sz w:val="16"/>
          <w:szCs w:val="18"/>
        </w:rPr>
        <w:t>4</w:t>
      </w:r>
      <w:r w:rsidRPr="00C01F6A">
        <w:rPr>
          <w:sz w:val="16"/>
          <w:szCs w:val="18"/>
        </w:rPr>
        <w:t>: Afstelling drempel scholen bij doelgroep van 15</w:t>
      </w:r>
      <w:r>
        <w:rPr>
          <w:sz w:val="16"/>
          <w:szCs w:val="18"/>
        </w:rPr>
        <w:t xml:space="preserve"> procent</w:t>
      </w:r>
    </w:p>
    <w:tbl>
      <w:tblPr>
        <w:tblW w:w="8970" w:type="dxa"/>
        <w:tblInd w:w="55" w:type="dxa"/>
        <w:tblCellMar>
          <w:left w:w="70" w:type="dxa"/>
          <w:right w:w="70" w:type="dxa"/>
        </w:tblCellMar>
        <w:tblLook w:val="04A0" w:firstRow="1" w:lastRow="0" w:firstColumn="1" w:lastColumn="0" w:noHBand="0" w:noVBand="1"/>
      </w:tblPr>
      <w:tblGrid>
        <w:gridCol w:w="3990"/>
        <w:gridCol w:w="1140"/>
        <w:gridCol w:w="960"/>
        <w:gridCol w:w="960"/>
        <w:gridCol w:w="960"/>
        <w:gridCol w:w="960"/>
      </w:tblGrid>
      <w:tr w:rsidR="00494892" w:rsidRPr="004F5885" w:rsidTr="007D5115">
        <w:trPr>
          <w:trHeight w:val="225"/>
        </w:trPr>
        <w:tc>
          <w:tcPr>
            <w:tcW w:w="3990" w:type="dxa"/>
            <w:tcBorders>
              <w:top w:val="single" w:sz="4" w:space="0" w:color="auto"/>
              <w:left w:val="nil"/>
              <w:bottom w:val="single" w:sz="4" w:space="0" w:color="auto"/>
              <w:right w:val="nil"/>
            </w:tcBorders>
            <w:shd w:val="clear" w:color="auto" w:fill="auto"/>
            <w:noWrap/>
            <w:vAlign w:val="bottom"/>
            <w:hideMark/>
          </w:tcPr>
          <w:p w:rsidR="00494892" w:rsidRPr="004F5885" w:rsidRDefault="00494892" w:rsidP="007D5115">
            <w:pPr>
              <w:spacing w:line="240" w:lineRule="auto"/>
              <w:rPr>
                <w:color w:val="000000"/>
                <w:szCs w:val="18"/>
              </w:rPr>
            </w:pPr>
            <w:r w:rsidRPr="004F5885">
              <w:rPr>
                <w:color w:val="000000"/>
                <w:szCs w:val="18"/>
              </w:rPr>
              <w:t>Drempel</w:t>
            </w:r>
          </w:p>
        </w:tc>
        <w:tc>
          <w:tcPr>
            <w:tcW w:w="1140" w:type="dxa"/>
            <w:tcBorders>
              <w:top w:val="single" w:sz="4" w:space="0" w:color="auto"/>
              <w:left w:val="nil"/>
              <w:bottom w:val="single" w:sz="4" w:space="0" w:color="auto"/>
              <w:right w:val="nil"/>
            </w:tcBorders>
            <w:shd w:val="clear" w:color="auto" w:fill="auto"/>
            <w:noWrap/>
            <w:vAlign w:val="bottom"/>
            <w:hideMark/>
          </w:tcPr>
          <w:p w:rsidR="00494892" w:rsidRPr="004F5885" w:rsidRDefault="00494892" w:rsidP="007D5115">
            <w:pPr>
              <w:spacing w:line="240" w:lineRule="auto"/>
              <w:jc w:val="center"/>
              <w:rPr>
                <w:color w:val="000000"/>
                <w:szCs w:val="18"/>
              </w:rPr>
            </w:pPr>
            <w:r w:rsidRPr="004F5885">
              <w:rPr>
                <w:color w:val="000000"/>
                <w:szCs w:val="18"/>
              </w:rPr>
              <w:t>10%</w:t>
            </w:r>
          </w:p>
        </w:tc>
        <w:tc>
          <w:tcPr>
            <w:tcW w:w="960" w:type="dxa"/>
            <w:tcBorders>
              <w:top w:val="single" w:sz="4" w:space="0" w:color="auto"/>
              <w:left w:val="nil"/>
              <w:bottom w:val="single" w:sz="4" w:space="0" w:color="auto"/>
              <w:right w:val="nil"/>
            </w:tcBorders>
            <w:shd w:val="clear" w:color="auto" w:fill="auto"/>
            <w:noWrap/>
            <w:vAlign w:val="bottom"/>
            <w:hideMark/>
          </w:tcPr>
          <w:p w:rsidR="00494892" w:rsidRPr="004F5885" w:rsidRDefault="00494892" w:rsidP="007D5115">
            <w:pPr>
              <w:spacing w:line="240" w:lineRule="auto"/>
              <w:jc w:val="center"/>
              <w:rPr>
                <w:color w:val="000000"/>
                <w:szCs w:val="18"/>
              </w:rPr>
            </w:pPr>
            <w:r w:rsidRPr="004F5885">
              <w:rPr>
                <w:color w:val="000000"/>
                <w:szCs w:val="18"/>
              </w:rPr>
              <w:t>11%</w:t>
            </w:r>
          </w:p>
        </w:tc>
        <w:tc>
          <w:tcPr>
            <w:tcW w:w="960" w:type="dxa"/>
            <w:tcBorders>
              <w:top w:val="single" w:sz="4" w:space="0" w:color="auto"/>
              <w:left w:val="nil"/>
              <w:bottom w:val="single" w:sz="4" w:space="0" w:color="auto"/>
              <w:right w:val="nil"/>
            </w:tcBorders>
            <w:shd w:val="clear" w:color="000000" w:fill="D9D9D9"/>
            <w:noWrap/>
            <w:vAlign w:val="bottom"/>
            <w:hideMark/>
          </w:tcPr>
          <w:p w:rsidR="00494892" w:rsidRPr="004F5885" w:rsidRDefault="00494892" w:rsidP="007D5115">
            <w:pPr>
              <w:spacing w:line="240" w:lineRule="auto"/>
              <w:jc w:val="center"/>
              <w:rPr>
                <w:color w:val="000000"/>
                <w:szCs w:val="18"/>
              </w:rPr>
            </w:pPr>
            <w:r w:rsidRPr="004F5885">
              <w:rPr>
                <w:color w:val="000000"/>
                <w:szCs w:val="18"/>
              </w:rPr>
              <w:t>12%</w:t>
            </w:r>
          </w:p>
        </w:tc>
        <w:tc>
          <w:tcPr>
            <w:tcW w:w="960" w:type="dxa"/>
            <w:tcBorders>
              <w:top w:val="single" w:sz="4" w:space="0" w:color="auto"/>
              <w:left w:val="nil"/>
              <w:bottom w:val="single" w:sz="4" w:space="0" w:color="auto"/>
              <w:right w:val="nil"/>
            </w:tcBorders>
            <w:shd w:val="clear" w:color="auto" w:fill="auto"/>
            <w:noWrap/>
            <w:vAlign w:val="bottom"/>
            <w:hideMark/>
          </w:tcPr>
          <w:p w:rsidR="00494892" w:rsidRPr="004F5885" w:rsidRDefault="00494892" w:rsidP="007D5115">
            <w:pPr>
              <w:spacing w:line="240" w:lineRule="auto"/>
              <w:jc w:val="center"/>
              <w:rPr>
                <w:color w:val="000000"/>
                <w:szCs w:val="18"/>
              </w:rPr>
            </w:pPr>
            <w:r w:rsidRPr="004F5885">
              <w:rPr>
                <w:color w:val="000000"/>
                <w:szCs w:val="18"/>
              </w:rPr>
              <w:t>13%</w:t>
            </w:r>
          </w:p>
        </w:tc>
        <w:tc>
          <w:tcPr>
            <w:tcW w:w="960" w:type="dxa"/>
            <w:tcBorders>
              <w:top w:val="single" w:sz="4" w:space="0" w:color="auto"/>
              <w:left w:val="nil"/>
              <w:bottom w:val="single" w:sz="4" w:space="0" w:color="auto"/>
              <w:right w:val="nil"/>
            </w:tcBorders>
            <w:shd w:val="clear" w:color="auto" w:fill="auto"/>
            <w:noWrap/>
            <w:vAlign w:val="bottom"/>
            <w:hideMark/>
          </w:tcPr>
          <w:p w:rsidR="00494892" w:rsidRPr="004F5885" w:rsidRDefault="00494892" w:rsidP="007D5115">
            <w:pPr>
              <w:spacing w:line="240" w:lineRule="auto"/>
              <w:jc w:val="center"/>
              <w:rPr>
                <w:color w:val="000000"/>
                <w:szCs w:val="18"/>
              </w:rPr>
            </w:pPr>
            <w:r w:rsidRPr="004F5885">
              <w:rPr>
                <w:color w:val="000000"/>
                <w:szCs w:val="18"/>
              </w:rPr>
              <w:t>14%</w:t>
            </w:r>
          </w:p>
        </w:tc>
      </w:tr>
      <w:tr w:rsidR="00494892" w:rsidRPr="004F5885" w:rsidTr="007D5115">
        <w:trPr>
          <w:trHeight w:val="225"/>
        </w:trPr>
        <w:tc>
          <w:tcPr>
            <w:tcW w:w="3990" w:type="dxa"/>
            <w:tcBorders>
              <w:top w:val="nil"/>
              <w:left w:val="nil"/>
              <w:bottom w:val="nil"/>
              <w:right w:val="nil"/>
            </w:tcBorders>
            <w:shd w:val="clear" w:color="auto" w:fill="auto"/>
            <w:noWrap/>
            <w:vAlign w:val="bottom"/>
            <w:hideMark/>
          </w:tcPr>
          <w:p w:rsidR="00494892" w:rsidRPr="004F5885" w:rsidRDefault="00494892" w:rsidP="007D5115">
            <w:pPr>
              <w:spacing w:line="240" w:lineRule="auto"/>
              <w:rPr>
                <w:color w:val="000000"/>
                <w:szCs w:val="18"/>
              </w:rPr>
            </w:pPr>
            <w:r w:rsidRPr="004F5885">
              <w:rPr>
                <w:color w:val="000000"/>
                <w:szCs w:val="18"/>
              </w:rPr>
              <w:t>Gemiddeld bedrag</w:t>
            </w:r>
            <w:r>
              <w:rPr>
                <w:color w:val="000000"/>
                <w:szCs w:val="18"/>
              </w:rPr>
              <w:t xml:space="preserve"> per </w:t>
            </w:r>
            <w:r w:rsidR="007B7CA5">
              <w:rPr>
                <w:color w:val="000000"/>
                <w:szCs w:val="18"/>
              </w:rPr>
              <w:t>leerling</w:t>
            </w:r>
          </w:p>
        </w:tc>
        <w:tc>
          <w:tcPr>
            <w:tcW w:w="1140" w:type="dxa"/>
            <w:tcBorders>
              <w:top w:val="nil"/>
              <w:left w:val="nil"/>
              <w:bottom w:val="nil"/>
              <w:right w:val="nil"/>
            </w:tcBorders>
            <w:shd w:val="clear" w:color="auto" w:fill="auto"/>
            <w:noWrap/>
            <w:vAlign w:val="bottom"/>
            <w:hideMark/>
          </w:tcPr>
          <w:p w:rsidR="00494892" w:rsidRPr="004F5885" w:rsidRDefault="00494892" w:rsidP="007D5115">
            <w:pPr>
              <w:spacing w:line="240" w:lineRule="auto"/>
              <w:jc w:val="center"/>
              <w:rPr>
                <w:color w:val="000000"/>
                <w:szCs w:val="18"/>
              </w:rPr>
            </w:pPr>
            <w:r w:rsidRPr="004F5885">
              <w:rPr>
                <w:color w:val="000000"/>
                <w:szCs w:val="18"/>
              </w:rPr>
              <w:t>€ 2.450</w:t>
            </w:r>
          </w:p>
        </w:tc>
        <w:tc>
          <w:tcPr>
            <w:tcW w:w="960" w:type="dxa"/>
            <w:tcBorders>
              <w:top w:val="nil"/>
              <w:left w:val="nil"/>
              <w:bottom w:val="nil"/>
              <w:right w:val="nil"/>
            </w:tcBorders>
            <w:shd w:val="clear" w:color="auto" w:fill="auto"/>
            <w:noWrap/>
            <w:vAlign w:val="bottom"/>
            <w:hideMark/>
          </w:tcPr>
          <w:p w:rsidR="00494892" w:rsidRPr="004F5885" w:rsidRDefault="00494892" w:rsidP="007D5115">
            <w:pPr>
              <w:spacing w:line="240" w:lineRule="auto"/>
              <w:jc w:val="center"/>
              <w:rPr>
                <w:color w:val="000000"/>
                <w:szCs w:val="18"/>
              </w:rPr>
            </w:pPr>
            <w:r w:rsidRPr="004F5885">
              <w:rPr>
                <w:color w:val="000000"/>
                <w:szCs w:val="18"/>
              </w:rPr>
              <w:t>€ 2.600</w:t>
            </w:r>
          </w:p>
        </w:tc>
        <w:tc>
          <w:tcPr>
            <w:tcW w:w="960" w:type="dxa"/>
            <w:tcBorders>
              <w:top w:val="nil"/>
              <w:left w:val="nil"/>
              <w:bottom w:val="nil"/>
              <w:right w:val="nil"/>
            </w:tcBorders>
            <w:shd w:val="clear" w:color="000000" w:fill="D9D9D9"/>
            <w:noWrap/>
            <w:vAlign w:val="bottom"/>
            <w:hideMark/>
          </w:tcPr>
          <w:p w:rsidR="00494892" w:rsidRPr="004F5885" w:rsidRDefault="00494892" w:rsidP="007D5115">
            <w:pPr>
              <w:spacing w:line="240" w:lineRule="auto"/>
              <w:jc w:val="center"/>
              <w:rPr>
                <w:color w:val="000000"/>
                <w:szCs w:val="18"/>
              </w:rPr>
            </w:pPr>
            <w:r w:rsidRPr="004F5885">
              <w:rPr>
                <w:color w:val="000000"/>
                <w:szCs w:val="18"/>
              </w:rPr>
              <w:t>€ 2.</w:t>
            </w:r>
            <w:r>
              <w:rPr>
                <w:color w:val="000000"/>
                <w:szCs w:val="18"/>
              </w:rPr>
              <w:t>7</w:t>
            </w:r>
            <w:r w:rsidRPr="004F5885">
              <w:rPr>
                <w:color w:val="000000"/>
                <w:szCs w:val="18"/>
              </w:rPr>
              <w:t>50</w:t>
            </w:r>
          </w:p>
        </w:tc>
        <w:tc>
          <w:tcPr>
            <w:tcW w:w="960" w:type="dxa"/>
            <w:tcBorders>
              <w:top w:val="nil"/>
              <w:left w:val="nil"/>
              <w:bottom w:val="nil"/>
              <w:right w:val="nil"/>
            </w:tcBorders>
            <w:shd w:val="clear" w:color="auto" w:fill="auto"/>
            <w:noWrap/>
            <w:vAlign w:val="bottom"/>
            <w:hideMark/>
          </w:tcPr>
          <w:p w:rsidR="00494892" w:rsidRPr="004F5885" w:rsidRDefault="00494892" w:rsidP="007D5115">
            <w:pPr>
              <w:spacing w:line="240" w:lineRule="auto"/>
              <w:jc w:val="center"/>
              <w:rPr>
                <w:color w:val="000000"/>
                <w:szCs w:val="18"/>
              </w:rPr>
            </w:pPr>
            <w:r w:rsidRPr="004F5885">
              <w:rPr>
                <w:color w:val="000000"/>
                <w:szCs w:val="18"/>
              </w:rPr>
              <w:t>€ 2.900</w:t>
            </w:r>
          </w:p>
        </w:tc>
        <w:tc>
          <w:tcPr>
            <w:tcW w:w="960" w:type="dxa"/>
            <w:tcBorders>
              <w:top w:val="nil"/>
              <w:left w:val="nil"/>
              <w:bottom w:val="nil"/>
              <w:right w:val="nil"/>
            </w:tcBorders>
            <w:shd w:val="clear" w:color="auto" w:fill="auto"/>
            <w:noWrap/>
            <w:vAlign w:val="bottom"/>
            <w:hideMark/>
          </w:tcPr>
          <w:p w:rsidR="00494892" w:rsidRPr="004F5885" w:rsidRDefault="00494892" w:rsidP="007D5115">
            <w:pPr>
              <w:spacing w:line="240" w:lineRule="auto"/>
              <w:jc w:val="center"/>
              <w:rPr>
                <w:color w:val="000000"/>
                <w:szCs w:val="18"/>
              </w:rPr>
            </w:pPr>
            <w:r w:rsidRPr="004F5885">
              <w:rPr>
                <w:color w:val="000000"/>
                <w:szCs w:val="18"/>
              </w:rPr>
              <w:t>€ 3.050</w:t>
            </w:r>
          </w:p>
        </w:tc>
      </w:tr>
      <w:tr w:rsidR="00494892" w:rsidRPr="004F5885" w:rsidTr="007D5115">
        <w:trPr>
          <w:trHeight w:val="225"/>
        </w:trPr>
        <w:tc>
          <w:tcPr>
            <w:tcW w:w="3990" w:type="dxa"/>
            <w:tcBorders>
              <w:top w:val="nil"/>
              <w:left w:val="nil"/>
              <w:bottom w:val="nil"/>
              <w:right w:val="nil"/>
            </w:tcBorders>
            <w:shd w:val="clear" w:color="auto" w:fill="auto"/>
            <w:noWrap/>
            <w:vAlign w:val="bottom"/>
            <w:hideMark/>
          </w:tcPr>
          <w:p w:rsidR="00494892" w:rsidRPr="004F5885" w:rsidRDefault="00494892" w:rsidP="007D5115">
            <w:pPr>
              <w:spacing w:line="240" w:lineRule="auto"/>
              <w:rPr>
                <w:color w:val="000000"/>
                <w:szCs w:val="18"/>
              </w:rPr>
            </w:pPr>
            <w:r w:rsidRPr="004F5885">
              <w:rPr>
                <w:color w:val="000000"/>
                <w:szCs w:val="18"/>
              </w:rPr>
              <w:t>Aantal kinderen</w:t>
            </w:r>
          </w:p>
        </w:tc>
        <w:tc>
          <w:tcPr>
            <w:tcW w:w="1140" w:type="dxa"/>
            <w:tcBorders>
              <w:top w:val="nil"/>
              <w:left w:val="nil"/>
              <w:bottom w:val="nil"/>
              <w:right w:val="nil"/>
            </w:tcBorders>
            <w:shd w:val="clear" w:color="auto" w:fill="auto"/>
            <w:noWrap/>
            <w:vAlign w:val="bottom"/>
            <w:hideMark/>
          </w:tcPr>
          <w:p w:rsidR="00494892" w:rsidRPr="004F5885" w:rsidRDefault="00494892" w:rsidP="007D5115">
            <w:pPr>
              <w:spacing w:line="240" w:lineRule="auto"/>
              <w:jc w:val="center"/>
              <w:rPr>
                <w:color w:val="000000"/>
                <w:szCs w:val="18"/>
              </w:rPr>
            </w:pPr>
            <w:r w:rsidRPr="004F5885">
              <w:rPr>
                <w:color w:val="000000"/>
                <w:szCs w:val="18"/>
              </w:rPr>
              <w:t>115.000</w:t>
            </w:r>
          </w:p>
        </w:tc>
        <w:tc>
          <w:tcPr>
            <w:tcW w:w="960" w:type="dxa"/>
            <w:tcBorders>
              <w:top w:val="nil"/>
              <w:left w:val="nil"/>
              <w:bottom w:val="nil"/>
              <w:right w:val="nil"/>
            </w:tcBorders>
            <w:shd w:val="clear" w:color="auto" w:fill="auto"/>
            <w:noWrap/>
            <w:vAlign w:val="bottom"/>
            <w:hideMark/>
          </w:tcPr>
          <w:p w:rsidR="00494892" w:rsidRPr="004F5885" w:rsidRDefault="00494892" w:rsidP="007D5115">
            <w:pPr>
              <w:spacing w:line="240" w:lineRule="auto"/>
              <w:jc w:val="center"/>
              <w:rPr>
                <w:color w:val="000000"/>
                <w:szCs w:val="18"/>
              </w:rPr>
            </w:pPr>
            <w:r w:rsidRPr="004F5885">
              <w:rPr>
                <w:color w:val="000000"/>
                <w:szCs w:val="18"/>
              </w:rPr>
              <w:t>105.000</w:t>
            </w:r>
          </w:p>
        </w:tc>
        <w:tc>
          <w:tcPr>
            <w:tcW w:w="960" w:type="dxa"/>
            <w:tcBorders>
              <w:top w:val="nil"/>
              <w:left w:val="nil"/>
              <w:bottom w:val="nil"/>
              <w:right w:val="nil"/>
            </w:tcBorders>
            <w:shd w:val="clear" w:color="000000" w:fill="D9D9D9"/>
            <w:noWrap/>
            <w:vAlign w:val="bottom"/>
            <w:hideMark/>
          </w:tcPr>
          <w:p w:rsidR="00494892" w:rsidRPr="004F5885" w:rsidRDefault="00494892" w:rsidP="007D5115">
            <w:pPr>
              <w:spacing w:line="240" w:lineRule="auto"/>
              <w:jc w:val="center"/>
              <w:rPr>
                <w:color w:val="000000"/>
                <w:szCs w:val="18"/>
              </w:rPr>
            </w:pPr>
            <w:r w:rsidRPr="004F5885">
              <w:rPr>
                <w:color w:val="000000"/>
                <w:szCs w:val="18"/>
              </w:rPr>
              <w:t>100.000</w:t>
            </w:r>
          </w:p>
        </w:tc>
        <w:tc>
          <w:tcPr>
            <w:tcW w:w="960" w:type="dxa"/>
            <w:tcBorders>
              <w:top w:val="nil"/>
              <w:left w:val="nil"/>
              <w:bottom w:val="nil"/>
              <w:right w:val="nil"/>
            </w:tcBorders>
            <w:shd w:val="clear" w:color="auto" w:fill="auto"/>
            <w:noWrap/>
            <w:vAlign w:val="bottom"/>
            <w:hideMark/>
          </w:tcPr>
          <w:p w:rsidR="00494892" w:rsidRPr="004F5885" w:rsidRDefault="00494892" w:rsidP="007D5115">
            <w:pPr>
              <w:spacing w:line="240" w:lineRule="auto"/>
              <w:jc w:val="center"/>
              <w:rPr>
                <w:color w:val="000000"/>
                <w:szCs w:val="18"/>
              </w:rPr>
            </w:pPr>
            <w:r w:rsidRPr="004F5885">
              <w:rPr>
                <w:color w:val="000000"/>
                <w:szCs w:val="18"/>
              </w:rPr>
              <w:t>95.000</w:t>
            </w:r>
          </w:p>
        </w:tc>
        <w:tc>
          <w:tcPr>
            <w:tcW w:w="960" w:type="dxa"/>
            <w:tcBorders>
              <w:top w:val="nil"/>
              <w:left w:val="nil"/>
              <w:bottom w:val="nil"/>
              <w:right w:val="nil"/>
            </w:tcBorders>
            <w:shd w:val="clear" w:color="auto" w:fill="auto"/>
            <w:noWrap/>
            <w:vAlign w:val="bottom"/>
            <w:hideMark/>
          </w:tcPr>
          <w:p w:rsidR="00494892" w:rsidRPr="004F5885" w:rsidRDefault="00494892" w:rsidP="007D5115">
            <w:pPr>
              <w:spacing w:line="240" w:lineRule="auto"/>
              <w:jc w:val="center"/>
              <w:rPr>
                <w:color w:val="000000"/>
                <w:szCs w:val="18"/>
              </w:rPr>
            </w:pPr>
            <w:r w:rsidRPr="004F5885">
              <w:rPr>
                <w:color w:val="000000"/>
                <w:szCs w:val="18"/>
              </w:rPr>
              <w:t>90.000</w:t>
            </w:r>
          </w:p>
        </w:tc>
      </w:tr>
    </w:tbl>
    <w:p w:rsidR="00494892" w:rsidRPr="00501369" w:rsidRDefault="00494892" w:rsidP="00494892">
      <w:pPr>
        <w:rPr>
          <w:sz w:val="12"/>
          <w:szCs w:val="18"/>
        </w:rPr>
      </w:pPr>
    </w:p>
    <w:p w:rsidR="00494892" w:rsidRPr="007053E4" w:rsidRDefault="00494892" w:rsidP="00494892">
      <w:pPr>
        <w:rPr>
          <w:b/>
          <w:szCs w:val="18"/>
        </w:rPr>
      </w:pPr>
      <w:r w:rsidRPr="007053E4">
        <w:rPr>
          <w:b/>
          <w:szCs w:val="18"/>
        </w:rPr>
        <w:t>Herverdeeleffecten</w:t>
      </w:r>
    </w:p>
    <w:p w:rsidR="00494892" w:rsidRPr="007053E4" w:rsidRDefault="00494892" w:rsidP="00494892">
      <w:pPr>
        <w:rPr>
          <w:szCs w:val="18"/>
        </w:rPr>
      </w:pPr>
      <w:r w:rsidRPr="007053E4">
        <w:rPr>
          <w:szCs w:val="18"/>
        </w:rPr>
        <w:t xml:space="preserve">Deze nieuwe verdeelsystematiek genereert herverdeeleffecten voor scholen en gemeenten. In </w:t>
      </w:r>
      <w:r w:rsidRPr="00E620A2">
        <w:rPr>
          <w:szCs w:val="18"/>
        </w:rPr>
        <w:t>de bijlage</w:t>
      </w:r>
      <w:r>
        <w:rPr>
          <w:szCs w:val="18"/>
        </w:rPr>
        <w:t>n bij deze brief</w:t>
      </w:r>
      <w:r w:rsidRPr="007053E4">
        <w:rPr>
          <w:szCs w:val="18"/>
        </w:rPr>
        <w:t xml:space="preserve"> heb ik een overzicht opgenomen waarin voor iedere school en iedere gemeente te zien is wat </w:t>
      </w:r>
      <w:r>
        <w:rPr>
          <w:szCs w:val="18"/>
        </w:rPr>
        <w:t>de</w:t>
      </w:r>
      <w:r w:rsidRPr="007053E4">
        <w:rPr>
          <w:szCs w:val="18"/>
        </w:rPr>
        <w:t xml:space="preserve"> nieuwe verdeling betekent.</w:t>
      </w:r>
      <w:r>
        <w:rPr>
          <w:rStyle w:val="Voetnootmarkering"/>
          <w:szCs w:val="18"/>
        </w:rPr>
        <w:footnoteReference w:id="4"/>
      </w:r>
      <w:r w:rsidRPr="007053E4">
        <w:rPr>
          <w:szCs w:val="18"/>
        </w:rPr>
        <w:t xml:space="preserve"> </w:t>
      </w:r>
    </w:p>
    <w:p w:rsidR="00494892" w:rsidRDefault="00494892" w:rsidP="00494892">
      <w:pPr>
        <w:rPr>
          <w:szCs w:val="18"/>
        </w:rPr>
      </w:pPr>
    </w:p>
    <w:p w:rsidR="008C647F" w:rsidRDefault="008C647F" w:rsidP="00494892">
      <w:pPr>
        <w:rPr>
          <w:szCs w:val="18"/>
        </w:rPr>
      </w:pPr>
    </w:p>
    <w:p w:rsidR="00494892" w:rsidRPr="00C01F6A" w:rsidRDefault="00494892" w:rsidP="00494892">
      <w:pPr>
        <w:rPr>
          <w:i/>
          <w:szCs w:val="18"/>
        </w:rPr>
      </w:pPr>
      <w:r>
        <w:rPr>
          <w:i/>
          <w:szCs w:val="18"/>
        </w:rPr>
        <w:lastRenderedPageBreak/>
        <w:t>Herverdeeleffecten gemeenten</w:t>
      </w:r>
    </w:p>
    <w:p w:rsidR="00494892" w:rsidRDefault="00494892" w:rsidP="00494892">
      <w:pPr>
        <w:rPr>
          <w:szCs w:val="18"/>
        </w:rPr>
      </w:pPr>
      <w:r>
        <w:rPr>
          <w:szCs w:val="18"/>
        </w:rPr>
        <w:t xml:space="preserve">Figuur 5 laat zien wat de indicatieve herverdeeleffecten zijn van de nieuwe verdeling. Hierbij is het budget van 2018 (ca. € 366 miljoen na de kasschuif) gebaseerd op de huidige verdeelsystematiek. De omvang van het nieuwe budget is structureel hoger (ca. € 486 miljoen) als gevolg van de intensivering van € 170 miljoen uit het Regeerakkoord. Met de intensivering van € 170 miljoen moeten gemeenten het aanbod van voorschoolse educatie vergroten van 10 naar 16 uur en de kwaliteit van voorschoolse educatie stimuleren door de inzet van meer hbo-geschoold personeel. Er zullen gemeenten zijn die het aanbod van voorschoolse educatie moeten uitbreiden, terwijl ze minder geld ontvangen dan in de afgelopen jaren het geval was. Dit vraagt om een aanpassing van hun beleid, zoals een heroverweging van de grootte van de gemeentelijke doelgroep. Door middel van een overgangsregeling krijgen de gemeenten hier voldoende tijd voor. Daarnaast ben ik nog in overleg met verschillende partijen uit het veld over de uitwerking van de urenuitbreiding en de inzet van hbo-geschoold personeel, hierover zal ik uw Kamer op een later moment nader informeren. </w:t>
      </w:r>
    </w:p>
    <w:p w:rsidR="00494892" w:rsidRDefault="00494892" w:rsidP="00494892">
      <w:pPr>
        <w:spacing w:line="240" w:lineRule="auto"/>
        <w:rPr>
          <w:szCs w:val="18"/>
        </w:rPr>
      </w:pPr>
    </w:p>
    <w:p w:rsidR="00494892" w:rsidRDefault="00494892" w:rsidP="00494892">
      <w:pPr>
        <w:spacing w:line="240" w:lineRule="auto"/>
        <w:rPr>
          <w:sz w:val="16"/>
          <w:szCs w:val="18"/>
        </w:rPr>
      </w:pPr>
      <w:r w:rsidRPr="00C01F6A">
        <w:rPr>
          <w:sz w:val="16"/>
          <w:szCs w:val="18"/>
        </w:rPr>
        <w:t xml:space="preserve">Figuur </w:t>
      </w:r>
      <w:r>
        <w:rPr>
          <w:sz w:val="16"/>
          <w:szCs w:val="18"/>
        </w:rPr>
        <w:t>5</w:t>
      </w:r>
      <w:r w:rsidRPr="00C01F6A">
        <w:rPr>
          <w:sz w:val="16"/>
          <w:szCs w:val="18"/>
        </w:rPr>
        <w:t>: Budgetomvang naar grootte gemeente (in miljoenen)</w:t>
      </w:r>
    </w:p>
    <w:p w:rsidR="00494892" w:rsidRPr="00C01F6A" w:rsidRDefault="00494892" w:rsidP="00494892">
      <w:pPr>
        <w:spacing w:line="240" w:lineRule="auto"/>
        <w:rPr>
          <w:sz w:val="16"/>
          <w:szCs w:val="18"/>
        </w:rPr>
      </w:pPr>
      <w:r>
        <w:rPr>
          <w:noProof/>
        </w:rPr>
        <w:drawing>
          <wp:inline distT="0" distB="0" distL="0" distR="0" wp14:anchorId="2FADB961" wp14:editId="36AD7A55">
            <wp:extent cx="3514725" cy="1752600"/>
            <wp:effectExtent l="0" t="0" r="9525" b="1905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94892" w:rsidRDefault="00494892" w:rsidP="00494892">
      <w:pPr>
        <w:rPr>
          <w:szCs w:val="18"/>
        </w:rPr>
      </w:pPr>
    </w:p>
    <w:p w:rsidR="00494892" w:rsidRDefault="00494892" w:rsidP="00494892">
      <w:pPr>
        <w:rPr>
          <w:szCs w:val="18"/>
        </w:rPr>
      </w:pPr>
      <w:r>
        <w:rPr>
          <w:szCs w:val="18"/>
        </w:rPr>
        <w:t xml:space="preserve">In figuur 5 </w:t>
      </w:r>
      <w:r w:rsidR="006B18D1">
        <w:rPr>
          <w:szCs w:val="18"/>
        </w:rPr>
        <w:t xml:space="preserve">zijn de herverdeeleffecten afgezet naar de </w:t>
      </w:r>
      <w:r w:rsidR="006F62A1">
        <w:rPr>
          <w:szCs w:val="18"/>
        </w:rPr>
        <w:t>omvang</w:t>
      </w:r>
      <w:r w:rsidR="006B18D1">
        <w:rPr>
          <w:szCs w:val="18"/>
        </w:rPr>
        <w:t xml:space="preserve"> van de gemeenten.</w:t>
      </w:r>
      <w:r w:rsidR="00E46751">
        <w:rPr>
          <w:szCs w:val="18"/>
        </w:rPr>
        <w:t xml:space="preserve"> De herverdeeleffecten zijn het gevolg van de toepassing van de nieuwe indicator en de keuzes in de nieuwe </w:t>
      </w:r>
      <w:r w:rsidR="00070B35">
        <w:rPr>
          <w:szCs w:val="18"/>
        </w:rPr>
        <w:t>verdeelsystematiek</w:t>
      </w:r>
      <w:r>
        <w:rPr>
          <w:szCs w:val="18"/>
        </w:rPr>
        <w:t>, waaronder de afschaffing van deelbudgetten voor gemeenten. In de bijlage staan de indicatieve gevolgen per gemeente.</w:t>
      </w:r>
    </w:p>
    <w:p w:rsidR="00494892" w:rsidRDefault="00494892" w:rsidP="00494892">
      <w:pPr>
        <w:rPr>
          <w:szCs w:val="18"/>
        </w:rPr>
      </w:pPr>
    </w:p>
    <w:p w:rsidR="00494892" w:rsidRPr="00C01F6A" w:rsidRDefault="00494892" w:rsidP="00494892">
      <w:pPr>
        <w:rPr>
          <w:i/>
          <w:szCs w:val="18"/>
        </w:rPr>
      </w:pPr>
      <w:r>
        <w:rPr>
          <w:i/>
          <w:szCs w:val="18"/>
        </w:rPr>
        <w:t>Herverdeeleffecten scholen</w:t>
      </w:r>
    </w:p>
    <w:p w:rsidR="00494892" w:rsidRDefault="00494892" w:rsidP="00494892">
      <w:pPr>
        <w:rPr>
          <w:szCs w:val="18"/>
        </w:rPr>
      </w:pPr>
      <w:r>
        <w:rPr>
          <w:szCs w:val="18"/>
        </w:rPr>
        <w:t xml:space="preserve">De nieuwe verdeelsystematiek heeft ook herverdeeleffecten voor scholen tot gevolg. De gevolgen voor de omvang van het budget voor schoolbesturen worden in figuur 6 indicatief weergegeven. Hierbij zijn de schoolbesturen ingedeeld naar omvang van de achterstandsmiddelen ten opzichte van hun totale lumpsum op basis van het budget uit schooljaar 2017-2018. De schoolbesturen die nu relatief veel achterstandsmiddelen ontvangen staan aan de rechterkant en helemaal links staan de schoolbesturen die nu geen achterstandsmiddelen ontvangen. Uit de figuur valt af te lezen dat schoolbesturen die nu relatief veel middelen ontvangen bij de nieuwe verdeling iets minder, maar nog steeds relatief veel middelen ontvangen. Schoolbesturen die relatief minder of geen middelen ontvangen gaan iets meer middelen ontvangen. Het budget wordt dus evenrediger verdeeld, maar komt nog steeds voornamelijk terecht bij scholen die nu ook veel middelen ontvangen. </w:t>
      </w:r>
    </w:p>
    <w:p w:rsidR="00662006" w:rsidRDefault="00662006" w:rsidP="00494892">
      <w:pPr>
        <w:rPr>
          <w:sz w:val="16"/>
          <w:szCs w:val="18"/>
        </w:rPr>
      </w:pPr>
    </w:p>
    <w:p w:rsidR="00494892" w:rsidRDefault="00494892" w:rsidP="00494892">
      <w:pPr>
        <w:rPr>
          <w:szCs w:val="18"/>
        </w:rPr>
      </w:pPr>
      <w:r>
        <w:rPr>
          <w:sz w:val="16"/>
          <w:szCs w:val="18"/>
        </w:rPr>
        <w:lastRenderedPageBreak/>
        <w:t>F</w:t>
      </w:r>
      <w:r w:rsidRPr="00C01F6A">
        <w:rPr>
          <w:sz w:val="16"/>
          <w:szCs w:val="18"/>
        </w:rPr>
        <w:t xml:space="preserve">iguur </w:t>
      </w:r>
      <w:r>
        <w:rPr>
          <w:sz w:val="16"/>
          <w:szCs w:val="18"/>
        </w:rPr>
        <w:t>6</w:t>
      </w:r>
      <w:r w:rsidRPr="00C01F6A">
        <w:rPr>
          <w:sz w:val="16"/>
          <w:szCs w:val="18"/>
        </w:rPr>
        <w:t xml:space="preserve">: Budgetomvang naar omvang achterstandsmiddelen op schoolbestuursniveau (in miljoenen) </w:t>
      </w:r>
      <w:r>
        <w:rPr>
          <w:noProof/>
        </w:rPr>
        <w:drawing>
          <wp:inline distT="0" distB="0" distL="0" distR="0" wp14:anchorId="383ADC48" wp14:editId="452181FC">
            <wp:extent cx="4724400" cy="1857375"/>
            <wp:effectExtent l="0" t="0" r="19050" b="9525"/>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21CED" w:rsidRDefault="00B21CED" w:rsidP="00494892">
      <w:pPr>
        <w:rPr>
          <w:b/>
          <w:szCs w:val="18"/>
        </w:rPr>
      </w:pPr>
    </w:p>
    <w:p w:rsidR="00494892" w:rsidRPr="007053E4" w:rsidRDefault="00494892" w:rsidP="00494892">
      <w:pPr>
        <w:rPr>
          <w:b/>
          <w:szCs w:val="18"/>
        </w:rPr>
      </w:pPr>
      <w:r w:rsidRPr="007053E4">
        <w:rPr>
          <w:b/>
          <w:szCs w:val="18"/>
        </w:rPr>
        <w:t>Overgangsregeling</w:t>
      </w:r>
    </w:p>
    <w:p w:rsidR="00494892" w:rsidRPr="007053E4" w:rsidRDefault="00494892" w:rsidP="00494892">
      <w:pPr>
        <w:rPr>
          <w:szCs w:val="18"/>
        </w:rPr>
      </w:pPr>
      <w:r>
        <w:rPr>
          <w:szCs w:val="18"/>
        </w:rPr>
        <w:t xml:space="preserve">Zoals eerder aangegeven ben ik mij ervan bewust dat deze nieuwe </w:t>
      </w:r>
      <w:r w:rsidR="00070B35">
        <w:rPr>
          <w:szCs w:val="18"/>
        </w:rPr>
        <w:t xml:space="preserve">verdeelsystematiek </w:t>
      </w:r>
      <w:r>
        <w:rPr>
          <w:szCs w:val="18"/>
        </w:rPr>
        <w:t xml:space="preserve">bij bepaalde scholen en gemeenten tot een flinke opgave kan leiden. Zij zullen moeten bekijken hoe zij omgaan met de veranderingen van budget dat zij ontvangen voor het onderwijsachterstandenbeleid. </w:t>
      </w:r>
      <w:r w:rsidRPr="007053E4">
        <w:rPr>
          <w:szCs w:val="18"/>
        </w:rPr>
        <w:t>Ik vind het belangrijk dat gemeenten</w:t>
      </w:r>
      <w:r>
        <w:rPr>
          <w:szCs w:val="18"/>
        </w:rPr>
        <w:t xml:space="preserve"> en scholen</w:t>
      </w:r>
      <w:r w:rsidRPr="007053E4">
        <w:rPr>
          <w:szCs w:val="18"/>
        </w:rPr>
        <w:t xml:space="preserve"> de tijd krijgen om hun beleid en bedrijfsvoering aan te passen aan de uitkomsten van de nieuwe verdeelsystematiek. </w:t>
      </w:r>
      <w:r>
        <w:rPr>
          <w:szCs w:val="18"/>
        </w:rPr>
        <w:t xml:space="preserve">Deze periode kunnen zij benutten om te bekijken voor welke kinderen zij wat nodig achten en welke middelen daarvoor beschikbaar zijn, via het onderwijsachterstandenbeleid en eventueel aanvullend. Gemeenten en scholen kunnen zo geleidelijk toewerken naar de nieuwe situatie. </w:t>
      </w:r>
    </w:p>
    <w:p w:rsidR="00494892" w:rsidRPr="007053E4" w:rsidRDefault="00494892" w:rsidP="00494892">
      <w:pPr>
        <w:rPr>
          <w:szCs w:val="18"/>
        </w:rPr>
      </w:pPr>
    </w:p>
    <w:p w:rsidR="00494892" w:rsidRPr="007053E4" w:rsidRDefault="00494892" w:rsidP="00494892">
      <w:pPr>
        <w:rPr>
          <w:szCs w:val="18"/>
        </w:rPr>
      </w:pPr>
      <w:r w:rsidRPr="007053E4">
        <w:rPr>
          <w:szCs w:val="18"/>
        </w:rPr>
        <w:t xml:space="preserve">Ik </w:t>
      </w:r>
      <w:r>
        <w:rPr>
          <w:szCs w:val="18"/>
        </w:rPr>
        <w:t>zal</w:t>
      </w:r>
      <w:r w:rsidRPr="007053E4">
        <w:rPr>
          <w:szCs w:val="18"/>
        </w:rPr>
        <w:t xml:space="preserve"> daarom een overgangstermijn van drie ja</w:t>
      </w:r>
      <w:r>
        <w:rPr>
          <w:szCs w:val="18"/>
        </w:rPr>
        <w:t>ren</w:t>
      </w:r>
      <w:r w:rsidRPr="007053E4">
        <w:rPr>
          <w:szCs w:val="18"/>
        </w:rPr>
        <w:t xml:space="preserve"> hanteren waarbij in drie gelijke stappen wordt overgegaan op de nieuwe verdeelsystematiek. </w:t>
      </w:r>
      <w:r>
        <w:rPr>
          <w:szCs w:val="18"/>
        </w:rPr>
        <w:t xml:space="preserve">Hiermee krijgen alle gemeenten en scholen voldoende tijd om het beleid aan te passen. </w:t>
      </w:r>
      <w:r w:rsidRPr="007053E4">
        <w:rPr>
          <w:szCs w:val="18"/>
        </w:rPr>
        <w:t>Dit is</w:t>
      </w:r>
      <w:r>
        <w:rPr>
          <w:szCs w:val="18"/>
        </w:rPr>
        <w:t xml:space="preserve"> ook</w:t>
      </w:r>
      <w:r w:rsidRPr="007053E4">
        <w:rPr>
          <w:szCs w:val="18"/>
        </w:rPr>
        <w:t xml:space="preserve"> in lijn met het advies dat de Raad voor het Openbaar Bestuur hierover aan mijn ambtsvoorganger heeft gegeven.</w:t>
      </w:r>
      <w:r w:rsidRPr="007053E4">
        <w:rPr>
          <w:rStyle w:val="Voetnootmarkering"/>
          <w:szCs w:val="18"/>
        </w:rPr>
        <w:footnoteReference w:id="5"/>
      </w:r>
      <w:r w:rsidRPr="007053E4">
        <w:rPr>
          <w:szCs w:val="18"/>
        </w:rPr>
        <w:t xml:space="preserve"> Dit betekent bij invoering van de nieuwe verdeling per 2019 voor gemeenten dat het bedrag dat gemeenten ontvangen per 2022 volledig gebaseerd is op de nieuwe systematiek. Voor scholen gaat hetzelfde op: de invoering van de nieuwe systematiek per schooljaar 2019-2020 betekent met een overgangstermijn van drie ja</w:t>
      </w:r>
      <w:r>
        <w:rPr>
          <w:szCs w:val="18"/>
        </w:rPr>
        <w:t>ren</w:t>
      </w:r>
      <w:r w:rsidRPr="007053E4">
        <w:rPr>
          <w:szCs w:val="18"/>
        </w:rPr>
        <w:t xml:space="preserve"> dat de bedragen die scholen ontvangen vanaf schooljaar 2022-2023 volledig gebaseerd zijn op de nieuwe systematiek.</w:t>
      </w:r>
      <w:r>
        <w:rPr>
          <w:rStyle w:val="Voetnootmarkering"/>
          <w:szCs w:val="18"/>
        </w:rPr>
        <w:footnoteReference w:id="6"/>
      </w:r>
    </w:p>
    <w:p w:rsidR="00494892" w:rsidRPr="007053E4" w:rsidRDefault="00494892" w:rsidP="00494892">
      <w:pPr>
        <w:rPr>
          <w:szCs w:val="18"/>
        </w:rPr>
      </w:pPr>
    </w:p>
    <w:p w:rsidR="00494892" w:rsidRPr="007053E4" w:rsidRDefault="00494892" w:rsidP="00494892">
      <w:pPr>
        <w:pStyle w:val="Lijstalinea"/>
        <w:ind w:left="0"/>
        <w:rPr>
          <w:sz w:val="18"/>
          <w:szCs w:val="18"/>
        </w:rPr>
      </w:pPr>
      <w:r w:rsidRPr="007053E4">
        <w:rPr>
          <w:sz w:val="18"/>
          <w:szCs w:val="18"/>
        </w:rPr>
        <w:t>De bedragen worden in elk van de drie overgangsjaren vergeleken met het bedrag dat een gemeente</w:t>
      </w:r>
      <w:r>
        <w:rPr>
          <w:sz w:val="18"/>
          <w:szCs w:val="18"/>
        </w:rPr>
        <w:t xml:space="preserve"> in 2018</w:t>
      </w:r>
      <w:r w:rsidRPr="007053E4">
        <w:rPr>
          <w:sz w:val="18"/>
          <w:szCs w:val="18"/>
        </w:rPr>
        <w:t xml:space="preserve"> </w:t>
      </w:r>
      <w:r>
        <w:rPr>
          <w:sz w:val="18"/>
          <w:szCs w:val="18"/>
        </w:rPr>
        <w:t>heeft</w:t>
      </w:r>
      <w:r w:rsidRPr="007053E4">
        <w:rPr>
          <w:sz w:val="18"/>
          <w:szCs w:val="18"/>
        </w:rPr>
        <w:t xml:space="preserve"> ontvangen en een school</w:t>
      </w:r>
      <w:r>
        <w:rPr>
          <w:sz w:val="18"/>
          <w:szCs w:val="18"/>
        </w:rPr>
        <w:t xml:space="preserve"> </w:t>
      </w:r>
      <w:r w:rsidRPr="007053E4">
        <w:rPr>
          <w:sz w:val="18"/>
          <w:szCs w:val="18"/>
        </w:rPr>
        <w:t>in het schooljaar 2019-2020</w:t>
      </w:r>
      <w:r>
        <w:rPr>
          <w:sz w:val="18"/>
          <w:szCs w:val="18"/>
        </w:rPr>
        <w:t xml:space="preserve"> (teldatum 1 oktober 2018) zou hebben ontvangen</w:t>
      </w:r>
      <w:r w:rsidRPr="007053E4">
        <w:rPr>
          <w:sz w:val="18"/>
          <w:szCs w:val="18"/>
        </w:rPr>
        <w:t xml:space="preserve"> op basis van de huidige verdeelsystematiek.</w:t>
      </w:r>
      <w:r>
        <w:rPr>
          <w:sz w:val="18"/>
          <w:szCs w:val="18"/>
        </w:rPr>
        <w:t xml:space="preserve"> </w:t>
      </w:r>
      <w:r w:rsidRPr="007053E4">
        <w:rPr>
          <w:sz w:val="18"/>
          <w:szCs w:val="18"/>
        </w:rPr>
        <w:t>Vervolgens wordt het bedrag op basis van de nieuwe systematiek vermeerderd of verminderd met het verschil tussen beide bedragen met een afnemend percentage over de jaren van:</w:t>
      </w:r>
    </w:p>
    <w:p w:rsidR="00494892" w:rsidRPr="007053E4" w:rsidRDefault="00494892" w:rsidP="00494892">
      <w:pPr>
        <w:pStyle w:val="Lijstalinea"/>
        <w:numPr>
          <w:ilvl w:val="0"/>
          <w:numId w:val="18"/>
        </w:numPr>
        <w:rPr>
          <w:sz w:val="18"/>
          <w:szCs w:val="18"/>
        </w:rPr>
      </w:pPr>
      <w:r w:rsidRPr="007053E4">
        <w:rPr>
          <w:sz w:val="18"/>
          <w:szCs w:val="18"/>
          <w:u w:val="single"/>
        </w:rPr>
        <w:t>75 procent</w:t>
      </w:r>
      <w:r w:rsidRPr="007053E4">
        <w:rPr>
          <w:sz w:val="18"/>
          <w:szCs w:val="18"/>
        </w:rPr>
        <w:t xml:space="preserve"> in 2019 voor gemeenten en in schooljaar 2019-2020 voor scholen, </w:t>
      </w:r>
    </w:p>
    <w:p w:rsidR="00494892" w:rsidRPr="007053E4" w:rsidRDefault="00494892" w:rsidP="00494892">
      <w:pPr>
        <w:pStyle w:val="Lijstalinea"/>
        <w:numPr>
          <w:ilvl w:val="0"/>
          <w:numId w:val="18"/>
        </w:numPr>
        <w:rPr>
          <w:sz w:val="18"/>
          <w:szCs w:val="18"/>
        </w:rPr>
      </w:pPr>
      <w:r w:rsidRPr="007053E4">
        <w:rPr>
          <w:sz w:val="18"/>
          <w:szCs w:val="18"/>
          <w:u w:val="single"/>
        </w:rPr>
        <w:t>50 procent</w:t>
      </w:r>
      <w:r w:rsidRPr="007053E4">
        <w:rPr>
          <w:sz w:val="18"/>
          <w:szCs w:val="18"/>
        </w:rPr>
        <w:t xml:space="preserve"> in 2020 voor gemeenten en in schooljaar 2020-2021 voor scholen en </w:t>
      </w:r>
    </w:p>
    <w:p w:rsidR="00494892" w:rsidRPr="007053E4" w:rsidRDefault="00494892" w:rsidP="00494892">
      <w:pPr>
        <w:pStyle w:val="Lijstalinea"/>
        <w:numPr>
          <w:ilvl w:val="0"/>
          <w:numId w:val="18"/>
        </w:numPr>
        <w:rPr>
          <w:sz w:val="18"/>
          <w:szCs w:val="18"/>
        </w:rPr>
      </w:pPr>
      <w:r w:rsidRPr="007053E4">
        <w:rPr>
          <w:sz w:val="18"/>
          <w:szCs w:val="18"/>
          <w:u w:val="single"/>
        </w:rPr>
        <w:t>25 procent</w:t>
      </w:r>
      <w:r w:rsidRPr="007053E4">
        <w:rPr>
          <w:sz w:val="18"/>
          <w:szCs w:val="18"/>
        </w:rPr>
        <w:t xml:space="preserve"> in 2021 voor gemeenten en in schooljaar 2021-2022 voor scholen. </w:t>
      </w:r>
    </w:p>
    <w:p w:rsidR="00662006" w:rsidRDefault="00662006" w:rsidP="00494892">
      <w:pPr>
        <w:rPr>
          <w:b/>
          <w:szCs w:val="18"/>
        </w:rPr>
      </w:pPr>
    </w:p>
    <w:p w:rsidR="00494892" w:rsidRPr="007053E4" w:rsidRDefault="00494892" w:rsidP="00494892">
      <w:pPr>
        <w:rPr>
          <w:b/>
          <w:szCs w:val="18"/>
        </w:rPr>
      </w:pPr>
      <w:r w:rsidRPr="007053E4">
        <w:rPr>
          <w:b/>
          <w:szCs w:val="18"/>
        </w:rPr>
        <w:lastRenderedPageBreak/>
        <w:t>Vervolg</w:t>
      </w:r>
    </w:p>
    <w:p w:rsidR="00494892" w:rsidRPr="007053E4" w:rsidRDefault="00494892" w:rsidP="00494892">
      <w:pPr>
        <w:rPr>
          <w:szCs w:val="18"/>
        </w:rPr>
      </w:pPr>
      <w:r w:rsidRPr="007053E4">
        <w:rPr>
          <w:szCs w:val="18"/>
        </w:rPr>
        <w:t xml:space="preserve">De nieuwe verdeling voor gemeenten wil ik per 1 januari 2019 laten ingaan en voor scholen per schooljaar 2019-2020. Op 16 mei aanstaande staat er een Algemeen Overleg met uw Kamer gepland om mijn </w:t>
      </w:r>
      <w:r>
        <w:rPr>
          <w:szCs w:val="18"/>
        </w:rPr>
        <w:t>keuze voor een nieuwe verdeelsystematiek</w:t>
      </w:r>
      <w:r w:rsidRPr="007053E4">
        <w:rPr>
          <w:szCs w:val="18"/>
        </w:rPr>
        <w:t xml:space="preserve"> te bespreken. Om invoering per kalenderjaar 2019 en schooljaar 2019-2020 mogelijk te maken, is gelijktijdig met verzending van deze brief de openbare internetconsultatie gestart en heb ik bij verzending van deze brief de Onderwijsraad</w:t>
      </w:r>
      <w:r>
        <w:rPr>
          <w:szCs w:val="18"/>
        </w:rPr>
        <w:t xml:space="preserve"> gevraagd zijn advies over dit onderwerp spoedig ter beschikking te stellen</w:t>
      </w:r>
      <w:r w:rsidRPr="007053E4">
        <w:rPr>
          <w:szCs w:val="18"/>
        </w:rPr>
        <w:t xml:space="preserve">. </w:t>
      </w:r>
    </w:p>
    <w:p w:rsidR="00494892" w:rsidRDefault="00494892" w:rsidP="00494892">
      <w:pPr>
        <w:rPr>
          <w:szCs w:val="18"/>
        </w:rPr>
      </w:pPr>
    </w:p>
    <w:p w:rsidR="00494892" w:rsidRPr="007053E4" w:rsidRDefault="00494892" w:rsidP="00494892">
      <w:pPr>
        <w:rPr>
          <w:szCs w:val="18"/>
        </w:rPr>
      </w:pPr>
    </w:p>
    <w:p w:rsidR="00494892" w:rsidRPr="007053E4" w:rsidRDefault="00494892" w:rsidP="00494892">
      <w:pPr>
        <w:rPr>
          <w:szCs w:val="18"/>
        </w:rPr>
      </w:pPr>
      <w:r w:rsidRPr="007053E4">
        <w:rPr>
          <w:szCs w:val="18"/>
        </w:rPr>
        <w:t>de minister voor Basis- en Voortgezet Onderwijs en Media,</w:t>
      </w:r>
    </w:p>
    <w:p w:rsidR="00494892" w:rsidRPr="007053E4" w:rsidRDefault="00494892" w:rsidP="00494892">
      <w:pPr>
        <w:rPr>
          <w:szCs w:val="18"/>
        </w:rPr>
      </w:pPr>
    </w:p>
    <w:p w:rsidR="00494892" w:rsidRPr="007053E4" w:rsidRDefault="00494892" w:rsidP="00494892">
      <w:pPr>
        <w:rPr>
          <w:szCs w:val="18"/>
        </w:rPr>
      </w:pPr>
    </w:p>
    <w:p w:rsidR="00494892" w:rsidRPr="007053E4" w:rsidRDefault="00494892" w:rsidP="00494892">
      <w:pPr>
        <w:rPr>
          <w:szCs w:val="18"/>
        </w:rPr>
      </w:pPr>
    </w:p>
    <w:p w:rsidR="000035DB" w:rsidRPr="007053E4" w:rsidRDefault="00494892" w:rsidP="00117B2A">
      <w:pPr>
        <w:rPr>
          <w:szCs w:val="18"/>
        </w:rPr>
      </w:pPr>
      <w:r w:rsidRPr="007053E4">
        <w:rPr>
          <w:szCs w:val="18"/>
        </w:rPr>
        <w:t>Arie Slob</w:t>
      </w:r>
    </w:p>
    <w:sectPr w:rsidR="000035DB" w:rsidRPr="007053E4" w:rsidSect="002F493B">
      <w:headerReference w:type="default" r:id="rId13"/>
      <w:footerReference w:type="default" r:id="rId14"/>
      <w:headerReference w:type="first" r:id="rId15"/>
      <w:footerReference w:type="first" r:id="rId16"/>
      <w:pgSz w:w="11906" w:h="16838" w:code="9"/>
      <w:pgMar w:top="2682" w:right="2818" w:bottom="1077" w:left="1588" w:header="2625" w:footer="289" w:gutter="0"/>
      <w:paperSrc w:first="1" w:other="3"/>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6A3" w:rsidRDefault="00EA76A3">
      <w:r>
        <w:separator/>
      </w:r>
    </w:p>
    <w:p w:rsidR="00EA76A3" w:rsidRDefault="00EA76A3"/>
  </w:endnote>
  <w:endnote w:type="continuationSeparator" w:id="0">
    <w:p w:rsidR="00EA76A3" w:rsidRDefault="00EA76A3">
      <w:r>
        <w:continuationSeparator/>
      </w:r>
    </w:p>
    <w:p w:rsidR="00EA76A3" w:rsidRDefault="00EA76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2F71BB"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0035DB" w:rsidP="000035DB">
          <w:pPr>
            <w:pStyle w:val="Huisstijl-Gegeven"/>
            <w:rPr>
              <w:noProof w:val="0"/>
              <w:szCs w:val="13"/>
            </w:rPr>
          </w:pPr>
          <w:r>
            <w:rPr>
              <w:noProof w:val="0"/>
            </w:rPr>
            <w:t>Pagina</w:t>
          </w:r>
          <w:r w:rsidR="002F71BB" w:rsidRPr="004C7E1D">
            <w:rPr>
              <w:noProof w:val="0"/>
              <w:szCs w:val="13"/>
            </w:rPr>
            <w:t xml:space="preserve"> </w:t>
          </w:r>
          <w:r w:rsidR="002F71BB" w:rsidRPr="004C7E1D">
            <w:rPr>
              <w:noProof w:val="0"/>
              <w:szCs w:val="13"/>
            </w:rPr>
            <w:fldChar w:fldCharType="begin"/>
          </w:r>
          <w:r w:rsidR="002F71BB" w:rsidRPr="004C7E1D">
            <w:rPr>
              <w:noProof w:val="0"/>
              <w:szCs w:val="13"/>
            </w:rPr>
            <w:instrText xml:space="preserve"> PAGE  \* Arabic  \* MERGEFORMAT </w:instrText>
          </w:r>
          <w:r w:rsidR="002F71BB" w:rsidRPr="004C7E1D">
            <w:rPr>
              <w:noProof w:val="0"/>
              <w:szCs w:val="13"/>
            </w:rPr>
            <w:fldChar w:fldCharType="separate"/>
          </w:r>
          <w:r w:rsidR="00FE7DAA">
            <w:rPr>
              <w:szCs w:val="13"/>
            </w:rPr>
            <w:t>2</w:t>
          </w:r>
          <w:r w:rsidR="002F71BB" w:rsidRPr="004C7E1D">
            <w:rPr>
              <w:noProof w:val="0"/>
              <w:szCs w:val="13"/>
            </w:rPr>
            <w:fldChar w:fldCharType="end"/>
          </w:r>
          <w:r w:rsidR="002F71BB" w:rsidRPr="004C7E1D">
            <w:rPr>
              <w:noProof w:val="0"/>
              <w:szCs w:val="13"/>
            </w:rPr>
            <w:t xml:space="preserve"> </w:t>
          </w:r>
          <w:r>
            <w:rPr>
              <w:noProof w:val="0"/>
            </w:rPr>
            <w:t>van</w:t>
          </w:r>
          <w:r w:rsidR="002F71BB" w:rsidRPr="004C7E1D">
            <w:rPr>
              <w:noProof w:val="0"/>
              <w:szCs w:val="13"/>
            </w:rPr>
            <w:t xml:space="preserve"> </w:t>
          </w:r>
          <w:r w:rsidR="002F71BB" w:rsidRPr="004C7E1D">
            <w:rPr>
              <w:noProof w:val="0"/>
              <w:szCs w:val="13"/>
            </w:rPr>
            <w:fldChar w:fldCharType="begin"/>
          </w:r>
          <w:r w:rsidR="002F71BB" w:rsidRPr="004C7E1D">
            <w:rPr>
              <w:noProof w:val="0"/>
              <w:szCs w:val="13"/>
            </w:rPr>
            <w:instrText xml:space="preserve"> SECTIONPAGES   \* MERGEFORMAT </w:instrText>
          </w:r>
          <w:r w:rsidR="002F71BB" w:rsidRPr="004C7E1D">
            <w:rPr>
              <w:noProof w:val="0"/>
              <w:szCs w:val="13"/>
            </w:rPr>
            <w:fldChar w:fldCharType="separate"/>
          </w:r>
          <w:r w:rsidR="00FE7DAA">
            <w:rPr>
              <w:szCs w:val="13"/>
            </w:rPr>
            <w:t>7</w:t>
          </w:r>
          <w:r w:rsidR="002F71BB" w:rsidRPr="004C7E1D">
            <w:rPr>
              <w:noProof w:val="0"/>
              <w:szCs w:val="13"/>
            </w:rPr>
            <w:fldChar w:fldCharType="end"/>
          </w:r>
        </w:p>
      </w:tc>
    </w:tr>
  </w:tbl>
  <w:p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69" w:type="dxa"/>
      <w:tblLook w:val="01E0" w:firstRow="1" w:lastRow="1" w:firstColumn="1" w:lastColumn="1" w:noHBand="0" w:noVBand="0"/>
    </w:tblPr>
    <w:tblGrid>
      <w:gridCol w:w="7709"/>
      <w:gridCol w:w="2060"/>
    </w:tblGrid>
    <w:tr w:rsidR="00D17084"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0035DB" w:rsidP="000035DB">
          <w:pPr>
            <w:pStyle w:val="Huisstijl-Gegeven"/>
            <w:rPr>
              <w:noProof w:val="0"/>
              <w:szCs w:val="13"/>
            </w:rPr>
          </w:pPr>
          <w:r>
            <w:rPr>
              <w:noProof w:val="0"/>
            </w:rPr>
            <w:t>Pagina</w:t>
          </w:r>
          <w:r w:rsidR="00D17084" w:rsidRPr="004C7E1D">
            <w:rPr>
              <w:noProof w:val="0"/>
              <w:szCs w:val="13"/>
            </w:rPr>
            <w:t xml:space="preserve"> </w:t>
          </w:r>
          <w:r w:rsidR="00D17084" w:rsidRPr="004C7E1D">
            <w:rPr>
              <w:noProof w:val="0"/>
              <w:szCs w:val="13"/>
            </w:rPr>
            <w:fldChar w:fldCharType="begin"/>
          </w:r>
          <w:r w:rsidR="00D17084" w:rsidRPr="004C7E1D">
            <w:rPr>
              <w:noProof w:val="0"/>
              <w:szCs w:val="13"/>
            </w:rPr>
            <w:instrText xml:space="preserve"> PAGE  \* Arabic  \* MERGEFORMAT </w:instrText>
          </w:r>
          <w:r w:rsidR="00D17084" w:rsidRPr="004C7E1D">
            <w:rPr>
              <w:noProof w:val="0"/>
              <w:szCs w:val="13"/>
            </w:rPr>
            <w:fldChar w:fldCharType="separate"/>
          </w:r>
          <w:r w:rsidR="00FE7DAA">
            <w:rPr>
              <w:szCs w:val="13"/>
            </w:rPr>
            <w:t>1</w:t>
          </w:r>
          <w:r w:rsidR="00D17084" w:rsidRPr="004C7E1D">
            <w:rPr>
              <w:noProof w:val="0"/>
              <w:szCs w:val="13"/>
            </w:rPr>
            <w:fldChar w:fldCharType="end"/>
          </w:r>
          <w:r w:rsidR="00D17084" w:rsidRPr="004C7E1D">
            <w:rPr>
              <w:noProof w:val="0"/>
              <w:szCs w:val="13"/>
            </w:rPr>
            <w:t xml:space="preserve"> </w:t>
          </w:r>
          <w:r>
            <w:rPr>
              <w:noProof w:val="0"/>
            </w:rPr>
            <w:t>van</w:t>
          </w:r>
          <w:r w:rsidR="00D17084" w:rsidRPr="004C7E1D">
            <w:rPr>
              <w:noProof w:val="0"/>
              <w:szCs w:val="13"/>
            </w:rPr>
            <w:t xml:space="preserve"> </w:t>
          </w:r>
          <w:r w:rsidR="00D17084" w:rsidRPr="004C7E1D">
            <w:rPr>
              <w:noProof w:val="0"/>
              <w:szCs w:val="13"/>
            </w:rPr>
            <w:fldChar w:fldCharType="begin"/>
          </w:r>
          <w:r w:rsidR="00D17084" w:rsidRPr="004C7E1D">
            <w:rPr>
              <w:noProof w:val="0"/>
              <w:szCs w:val="13"/>
            </w:rPr>
            <w:instrText xml:space="preserve"> SECTIONPAGES   \* MERGEFORMAT </w:instrText>
          </w:r>
          <w:r w:rsidR="00D17084" w:rsidRPr="004C7E1D">
            <w:rPr>
              <w:noProof w:val="0"/>
              <w:szCs w:val="13"/>
            </w:rPr>
            <w:fldChar w:fldCharType="separate"/>
          </w:r>
          <w:r w:rsidR="00FE7DAA">
            <w:rPr>
              <w:szCs w:val="13"/>
            </w:rPr>
            <w:t>7</w:t>
          </w:r>
          <w:r w:rsidR="00D17084" w:rsidRPr="004C7E1D">
            <w:rPr>
              <w:noProof w:val="0"/>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6A3" w:rsidRDefault="00EA76A3">
      <w:r>
        <w:separator/>
      </w:r>
    </w:p>
  </w:footnote>
  <w:footnote w:type="continuationSeparator" w:id="0">
    <w:p w:rsidR="00EA76A3" w:rsidRDefault="00EA76A3">
      <w:r>
        <w:continuationSeparator/>
      </w:r>
    </w:p>
    <w:p w:rsidR="00EA76A3" w:rsidRDefault="00EA76A3"/>
  </w:footnote>
  <w:footnote w:id="1">
    <w:p w:rsidR="00494892" w:rsidRPr="00C01F6A" w:rsidRDefault="00494892" w:rsidP="00494892">
      <w:pPr>
        <w:pStyle w:val="Default"/>
        <w:rPr>
          <w:rFonts w:cs="Times New Roman"/>
          <w:sz w:val="16"/>
          <w:szCs w:val="16"/>
        </w:rPr>
      </w:pPr>
      <w:r w:rsidRPr="00702783">
        <w:rPr>
          <w:rStyle w:val="Voetnootmarkering"/>
          <w:sz w:val="16"/>
          <w:szCs w:val="16"/>
        </w:rPr>
        <w:footnoteRef/>
      </w:r>
      <w:r w:rsidRPr="00702783">
        <w:rPr>
          <w:sz w:val="16"/>
          <w:szCs w:val="16"/>
        </w:rPr>
        <w:t xml:space="preserve"> </w:t>
      </w:r>
      <w:r w:rsidRPr="00C01F6A">
        <w:rPr>
          <w:rFonts w:cs="Times New Roman"/>
          <w:sz w:val="16"/>
          <w:szCs w:val="16"/>
        </w:rPr>
        <w:t>In de berekening van de hoogte van dit minimumbudget is er rekening gehouden met een groep van 8 peuters en een prijs per plek van afgerond ongeveer € 8.000,</w:t>
      </w:r>
      <w:r w:rsidRPr="00702783">
        <w:rPr>
          <w:rFonts w:cs="Times New Roman"/>
          <w:sz w:val="16"/>
          <w:szCs w:val="16"/>
        </w:rPr>
        <w:t xml:space="preserve"> waarbij rekening is gehouden met een prijs per uur van circa € 12 per kind voor</w:t>
      </w:r>
      <w:r>
        <w:rPr>
          <w:rFonts w:cs="Times New Roman"/>
          <w:sz w:val="16"/>
          <w:szCs w:val="16"/>
        </w:rPr>
        <w:t xml:space="preserve"> 16 uur per week en 40 weken per jaar</w:t>
      </w:r>
      <w:r w:rsidRPr="00702783">
        <w:rPr>
          <w:rFonts w:cs="Times New Roman"/>
          <w:sz w:val="16"/>
          <w:szCs w:val="16"/>
        </w:rPr>
        <w:t xml:space="preserve">. </w:t>
      </w:r>
    </w:p>
  </w:footnote>
  <w:footnote w:id="2">
    <w:p w:rsidR="007B7CA5" w:rsidRDefault="007B7CA5" w:rsidP="007B7CA5">
      <w:pPr>
        <w:pStyle w:val="Voetnoottekst"/>
        <w:spacing w:line="240" w:lineRule="auto"/>
      </w:pPr>
      <w:r w:rsidRPr="006E0AA9">
        <w:rPr>
          <w:rStyle w:val="Voetnootmarkering"/>
          <w:sz w:val="16"/>
        </w:rPr>
        <w:footnoteRef/>
      </w:r>
      <w:r w:rsidRPr="006E0AA9">
        <w:rPr>
          <w:sz w:val="16"/>
        </w:rPr>
        <w:t xml:space="preserve"> Het aantal kinderen </w:t>
      </w:r>
      <w:r>
        <w:rPr>
          <w:sz w:val="16"/>
        </w:rPr>
        <w:t xml:space="preserve">dat in de landelijke doelgroep valt </w:t>
      </w:r>
      <w:r w:rsidRPr="006E0AA9">
        <w:rPr>
          <w:sz w:val="16"/>
        </w:rPr>
        <w:t xml:space="preserve">(voor gemeenten en scholen) is geschat door de optelsom van de risico’s van de kinderen na verwerking van de drempel te delen door de gemiddelde onderwijsscore van de kinderen in de betreffende doelgroep. </w:t>
      </w:r>
      <w:r>
        <w:rPr>
          <w:sz w:val="16"/>
        </w:rPr>
        <w:t>Het bedrag per kind is geschat door het totale budget van circa €486 miljoen te delen door het aantal kinderen in de landelijke doelgroep.</w:t>
      </w:r>
    </w:p>
  </w:footnote>
  <w:footnote w:id="3">
    <w:p w:rsidR="00494892" w:rsidRPr="00C638DE" w:rsidRDefault="00494892" w:rsidP="00494892">
      <w:pPr>
        <w:pStyle w:val="Voetnoottekst"/>
        <w:spacing w:line="240" w:lineRule="auto"/>
        <w:rPr>
          <w:sz w:val="16"/>
          <w:szCs w:val="16"/>
        </w:rPr>
      </w:pPr>
      <w:r w:rsidRPr="00C638DE">
        <w:rPr>
          <w:rStyle w:val="Voetnootmarkering"/>
          <w:sz w:val="16"/>
          <w:szCs w:val="16"/>
        </w:rPr>
        <w:footnoteRef/>
      </w:r>
      <w:r w:rsidRPr="00C638DE">
        <w:rPr>
          <w:sz w:val="16"/>
          <w:szCs w:val="16"/>
        </w:rPr>
        <w:t xml:space="preserve"> </w:t>
      </w:r>
      <w:r>
        <w:rPr>
          <w:sz w:val="16"/>
          <w:szCs w:val="16"/>
        </w:rPr>
        <w:t xml:space="preserve">Gemeenten besteden de onderwijsachterstandsmiddelen grotendeels aan voorschoolse educatie van peuters, maar ook aan bijvoorbeeld zomerscholen en schakelklassen voor oudere kinderen. Daarom is </w:t>
      </w:r>
      <w:r w:rsidRPr="00C638DE">
        <w:rPr>
          <w:sz w:val="16"/>
          <w:szCs w:val="16"/>
        </w:rPr>
        <w:t xml:space="preserve">de verdeelsystematiek gebaseerd op alle kinderen in de gemeente (2,5 t/m 12 jaar) en niet alleen op de peuters. </w:t>
      </w:r>
    </w:p>
  </w:footnote>
  <w:footnote w:id="4">
    <w:p w:rsidR="00494892" w:rsidRDefault="00494892" w:rsidP="00501369">
      <w:pPr>
        <w:pStyle w:val="Voetnoottekst"/>
        <w:spacing w:line="240" w:lineRule="auto"/>
      </w:pPr>
      <w:r w:rsidRPr="00E1418E">
        <w:rPr>
          <w:rStyle w:val="Voetnootmarkering"/>
          <w:sz w:val="16"/>
        </w:rPr>
        <w:footnoteRef/>
      </w:r>
      <w:r w:rsidRPr="00E1418E">
        <w:rPr>
          <w:sz w:val="16"/>
        </w:rPr>
        <w:t xml:space="preserve"> De bedragen in de bijlagen zijn berekend op basis van teldatum 1 oktober 2015 en 1 oktober 2016 voor gemeenten en op basis van teldatum 1 oktober 2016 voor schoolbesturen.</w:t>
      </w:r>
      <w:r>
        <w:rPr>
          <w:sz w:val="16"/>
        </w:rPr>
        <w:t xml:space="preserve"> Dit is ook van toepassing op de figuren 5 en 6. </w:t>
      </w:r>
    </w:p>
  </w:footnote>
  <w:footnote w:id="5">
    <w:p w:rsidR="00494892" w:rsidRPr="00B525D0" w:rsidRDefault="00494892" w:rsidP="00494892">
      <w:pPr>
        <w:pStyle w:val="Voetnoottekst"/>
        <w:rPr>
          <w:sz w:val="16"/>
        </w:rPr>
      </w:pPr>
      <w:r w:rsidRPr="005319BA">
        <w:rPr>
          <w:rStyle w:val="Voetnootmarkering"/>
          <w:sz w:val="16"/>
        </w:rPr>
        <w:footnoteRef/>
      </w:r>
      <w:r w:rsidRPr="005319BA">
        <w:rPr>
          <w:sz w:val="16"/>
        </w:rPr>
        <w:t xml:space="preserve"> Bijlage bij </w:t>
      </w:r>
      <w:r w:rsidRPr="005319BA">
        <w:rPr>
          <w:sz w:val="16"/>
          <w:szCs w:val="16"/>
        </w:rPr>
        <w:t>kamerstukken 27 020, nr. 78.</w:t>
      </w:r>
    </w:p>
  </w:footnote>
  <w:footnote w:id="6">
    <w:p w:rsidR="00494892" w:rsidRDefault="00494892" w:rsidP="00494892">
      <w:pPr>
        <w:pStyle w:val="Voetnoottekst"/>
      </w:pPr>
      <w:r w:rsidRPr="009A15A3">
        <w:rPr>
          <w:rStyle w:val="Voetnootmarkering"/>
          <w:sz w:val="16"/>
        </w:rPr>
        <w:footnoteRef/>
      </w:r>
      <w:r w:rsidRPr="009A15A3">
        <w:rPr>
          <w:rStyle w:val="Voetnootmarkering"/>
          <w:sz w:val="16"/>
        </w:rPr>
        <w:t xml:space="preserve"> </w:t>
      </w:r>
      <w:r w:rsidRPr="009A15A3">
        <w:rPr>
          <w:sz w:val="16"/>
          <w:szCs w:val="16"/>
        </w:rPr>
        <w:t>De aanvullende bekostiging wordt berekend per school en toegekend per schoolbestuur.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518" w:type="dxa"/>
      <w:tblLayout w:type="fixed"/>
      <w:tblCellMar>
        <w:left w:w="0" w:type="dxa"/>
        <w:right w:w="0" w:type="dxa"/>
      </w:tblCellMar>
      <w:tblLook w:val="0000" w:firstRow="0" w:lastRow="0" w:firstColumn="0" w:lastColumn="0" w:noHBand="0" w:noVBand="0"/>
    </w:tblPr>
    <w:tblGrid>
      <w:gridCol w:w="7518"/>
    </w:tblGrid>
    <w:tr w:rsidR="00527BD4" w:rsidRPr="00275984" w:rsidTr="006D2D53">
      <w:trPr>
        <w:trHeight w:hRule="exact" w:val="400"/>
      </w:trPr>
      <w:tc>
        <w:tcPr>
          <w:tcW w:w="7518" w:type="dxa"/>
          <w:shd w:val="clear" w:color="auto" w:fill="auto"/>
        </w:tcPr>
        <w:p w:rsidR="00527BD4" w:rsidRPr="00275984" w:rsidRDefault="00527BD4" w:rsidP="00BF4427">
          <w:pPr>
            <w:pStyle w:val="Huisstijl-Rubricering"/>
            <w:rPr>
              <w:noProof w:val="0"/>
            </w:rPr>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E35CF4" w:rsidRPr="005819CE" w:rsidTr="003B528D">
      <w:tc>
        <w:tcPr>
          <w:tcW w:w="2160" w:type="dxa"/>
          <w:shd w:val="clear" w:color="auto" w:fill="auto"/>
        </w:tcPr>
        <w:p w:rsidR="000035DB" w:rsidRPr="002F71BB" w:rsidRDefault="000035DB" w:rsidP="006C2093">
          <w:pPr>
            <w:pStyle w:val="Colofonkop"/>
            <w:framePr w:hSpace="0" w:wrap="auto" w:vAnchor="margin" w:hAnchor="text" w:xAlign="left" w:yAlign="inline"/>
            <w:rPr>
              <w:noProof w:val="0"/>
            </w:rPr>
          </w:pPr>
          <w:r>
            <w:rPr>
              <w:noProof w:val="0"/>
            </w:rPr>
            <w:t>Onze referentie</w:t>
          </w:r>
        </w:p>
        <w:p w:rsidR="002F71BB" w:rsidRPr="000407BB" w:rsidRDefault="000407BB" w:rsidP="00FF7D29">
          <w:pPr>
            <w:spacing w:after="90" w:line="180" w:lineRule="exact"/>
            <w:rPr>
              <w:sz w:val="13"/>
              <w:szCs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sidR="00294A68">
            <w:rPr>
              <w:sz w:val="13"/>
              <w:szCs w:val="13"/>
            </w:rPr>
            <w:t>1339533</w:t>
          </w:r>
          <w:r>
            <w:rPr>
              <w:sz w:val="13"/>
              <w:szCs w:val="13"/>
            </w:rPr>
            <w:fldChar w:fldCharType="end"/>
          </w:r>
        </w:p>
      </w:tc>
    </w:tr>
    <w:tr w:rsidR="00E35CF4" w:rsidRPr="005819CE"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737"/>
      <w:gridCol w:w="5156"/>
    </w:tblGrid>
    <w:tr w:rsidR="00704845"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0035DB" w:rsidRDefault="00CC72C1" w:rsidP="000035DB">
          <w:pPr>
            <w:framePr w:w="6339" w:h="2750" w:hRule="exact" w:hSpace="181" w:wrap="around" w:vAnchor="page" w:hAnchor="page" w:x="5586" w:y="1"/>
          </w:pPr>
          <w:r>
            <w:rPr>
              <w:noProof/>
            </w:rPr>
            <w:drawing>
              <wp:inline distT="0" distB="0" distL="0" distR="0" wp14:anchorId="1E2FA7E4" wp14:editId="25489166">
                <wp:extent cx="2447925" cy="1657350"/>
                <wp:effectExtent l="0" t="0" r="9525" b="0"/>
                <wp:docPr id="926" name="Afbeelding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657350"/>
                        </a:xfrm>
                        <a:prstGeom prst="rect">
                          <a:avLst/>
                        </a:prstGeom>
                        <a:noFill/>
                        <a:ln>
                          <a:noFill/>
                        </a:ln>
                      </pic:spPr>
                    </pic:pic>
                  </a:graphicData>
                </a:graphic>
              </wp:inline>
            </w:drawing>
          </w:r>
        </w:p>
        <w:p w:rsidR="000035DB" w:rsidRPr="00543A0D" w:rsidRDefault="000035DB" w:rsidP="000035DB">
          <w:pPr>
            <w:framePr w:w="6339" w:h="2750" w:hRule="exact" w:hSpace="181" w:wrap="around" w:vAnchor="page" w:hAnchor="page" w:x="5586" w:y="1"/>
            <w:spacing w:after="200" w:line="276" w:lineRule="auto"/>
            <w:rPr>
              <w:rFonts w:ascii="Calibri" w:hAnsi="Calibri"/>
              <w:sz w:val="22"/>
              <w:szCs w:val="22"/>
              <w:lang w:eastAsia="en-US"/>
            </w:rPr>
          </w:pPr>
        </w:p>
        <w:p w:rsidR="00704845" w:rsidRDefault="00704845" w:rsidP="0047126E">
          <w:pPr>
            <w:framePr w:w="6339" w:h="2750" w:hRule="exact" w:hSpace="181" w:wrap="around" w:vAnchor="page" w:hAnchor="page" w:x="5586" w:y="1"/>
            <w:spacing w:line="240" w:lineRule="auto"/>
          </w:pPr>
        </w:p>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527BD4" w:rsidTr="0008539E">
      <w:trPr>
        <w:trHeight w:hRule="exact" w:val="572"/>
      </w:trPr>
      <w:tc>
        <w:tcPr>
          <w:tcW w:w="7520" w:type="dxa"/>
          <w:shd w:val="clear" w:color="auto" w:fill="auto"/>
        </w:tcPr>
        <w:p w:rsidR="00527BD4" w:rsidRPr="00963440" w:rsidRDefault="000035DB" w:rsidP="000035DB">
          <w:pPr>
            <w:pStyle w:val="Huisstijl-Adres"/>
            <w:spacing w:after="0"/>
            <w:rPr>
              <w:noProof w:val="0"/>
            </w:rPr>
          </w:pPr>
          <w:r w:rsidRPr="009E3B07">
            <w:rPr>
              <w:noProof w:val="0"/>
            </w:rPr>
            <w:t>&gt;Retouradres </w:t>
          </w:r>
          <w:r>
            <w:rPr>
              <w:noProof w:val="0"/>
            </w:rPr>
            <w:t>Postbus 16375 2500 BJ Den Haag</w:t>
          </w:r>
          <w:r w:rsidRPr="009E3B07">
            <w:rPr>
              <w:noProof w:val="0"/>
            </w:rPr>
            <w:t xml:space="preserve"> </w:t>
          </w:r>
        </w:p>
      </w:tc>
    </w:tr>
    <w:tr w:rsidR="00527BD4" w:rsidTr="00E776C6">
      <w:trPr>
        <w:cantSplit/>
        <w:trHeight w:hRule="exact" w:val="238"/>
      </w:trPr>
      <w:tc>
        <w:tcPr>
          <w:tcW w:w="7520" w:type="dxa"/>
          <w:shd w:val="clear" w:color="auto" w:fill="auto"/>
        </w:tcPr>
        <w:p w:rsidR="00093ABC" w:rsidRPr="00963440" w:rsidRDefault="00093ABC" w:rsidP="00963440"/>
      </w:tc>
    </w:tr>
    <w:tr w:rsidR="00A604D3" w:rsidTr="00E776C6">
      <w:trPr>
        <w:cantSplit/>
        <w:trHeight w:hRule="exact" w:val="1520"/>
      </w:trPr>
      <w:tc>
        <w:tcPr>
          <w:tcW w:w="7520" w:type="dxa"/>
          <w:shd w:val="clear" w:color="auto" w:fill="auto"/>
        </w:tcPr>
        <w:p w:rsidR="00A604D3" w:rsidRPr="00963440" w:rsidRDefault="00A604D3" w:rsidP="00963440"/>
      </w:tc>
    </w:tr>
    <w:tr w:rsidR="00527BD4" w:rsidTr="00E776C6">
      <w:trPr>
        <w:trHeight w:hRule="exact" w:val="1077"/>
      </w:trPr>
      <w:tc>
        <w:tcPr>
          <w:tcW w:w="7520" w:type="dxa"/>
          <w:shd w:val="clear" w:color="auto" w:fill="auto"/>
        </w:tcPr>
        <w:p w:rsidR="00892BA5" w:rsidRPr="00035E67" w:rsidRDefault="00892BA5" w:rsidP="00892BA5">
          <w:pPr>
            <w:tabs>
              <w:tab w:val="left" w:pos="740"/>
            </w:tabs>
            <w:autoSpaceDE w:val="0"/>
            <w:autoSpaceDN w:val="0"/>
            <w:adjustRightInd w:val="0"/>
            <w:rPr>
              <w:rFonts w:cs="Verdana"/>
              <w:szCs w:val="18"/>
            </w:rPr>
          </w:pPr>
        </w:p>
      </w:tc>
    </w:tr>
  </w:tbl>
  <w:p w:rsidR="006F273B" w:rsidRDefault="006F273B" w:rsidP="00BC4AE3">
    <w:pPr>
      <w:pStyle w:val="Koptekst"/>
    </w:pPr>
  </w:p>
  <w:p w:rsidR="00153BD0" w:rsidRDefault="00153BD0" w:rsidP="00BC4AE3">
    <w:pPr>
      <w:pStyle w:val="Koptekst"/>
    </w:pPr>
  </w:p>
  <w:p w:rsidR="00662006" w:rsidRDefault="00662006" w:rsidP="00BC4AE3">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E71759"/>
    <w:multiLevelType w:val="hybridMultilevel"/>
    <w:tmpl w:val="CBB0A9E0"/>
    <w:lvl w:ilvl="0" w:tplc="84AC1A72">
      <w:numFmt w:val="bullet"/>
      <w:lvlText w:val="-"/>
      <w:lvlJc w:val="left"/>
      <w:pPr>
        <w:ind w:left="360" w:hanging="360"/>
      </w:pPr>
      <w:rPr>
        <w:rFonts w:ascii="Verdana" w:eastAsia="Times New Roman" w:hAnsi="Verdana" w:cs="Times New Roman" w:hint="default"/>
        <w:u w:val="none"/>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F81D6F"/>
    <w:multiLevelType w:val="hybridMultilevel"/>
    <w:tmpl w:val="082855C0"/>
    <w:lvl w:ilvl="0" w:tplc="942A832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92C0798"/>
    <w:multiLevelType w:val="hybridMultilevel"/>
    <w:tmpl w:val="000C346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7" w15:restartNumberingAfterBreak="0">
    <w:nsid w:val="7E636C60"/>
    <w:multiLevelType w:val="hybridMultilevel"/>
    <w:tmpl w:val="CD1648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4"/>
  </w:num>
  <w:num w:numId="14">
    <w:abstractNumId w:val="12"/>
  </w:num>
  <w:num w:numId="15">
    <w:abstractNumId w:val="16"/>
  </w:num>
  <w:num w:numId="16">
    <w:abstractNumId w:val="17"/>
  </w:num>
  <w:num w:numId="17">
    <w:abstractNumId w:val="15"/>
  </w:num>
  <w:num w:numId="1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SD_MetaData" w:val="&lt;Fields library=&quot;EDOC&quot; form=&quot;OCW_REGISTRATIE&quot;&gt;&lt;Field id=&quot;UserGroup.0&quot; value=&quot;D47FBB5559C642A0A7EDDFAB36BDBAFC&quot;/&gt;&lt;Field id=&quot;UserGroup.1&quot; value=&quot;Primair Onderwijs&quot;/&gt;&lt;Field id=&quot;UserGroup.2&quot; value=&quot;PO&quot;/&gt;&lt;Field id=&quot;UserGroup.3&quot; value=&quot;&quot;/&gt;&lt;Field id=&quot;UserGroup.815F2AA4BDBE427BB9EA923102C2FB70&quot; value=&quot;Primair Onderwijs&quot;/&gt;&lt;Field id=&quot;UserGroup.C8F252B263EA491887105D16AD55D2C2&quot; value=&quot;Ministerie van Onderwijs, Cultuur en Wetenschap&quot;/&gt;&lt;Field id=&quot;UserGroup.1AC2DC1AD5B140B6B2786A9B8EFE942A&quot; value=&quot;Postbus&quot;/&gt;&lt;Field id=&quot;UserGroup.178795B7610D48FF87BC6D5050A75B0C&quot; value=&quot;16375&quot;/&gt;&lt;Field id=&quot;UserGroup.951055743CB245938C2AE79801D4D1BB&quot; value=&quot;2500 BJ&quot;/&gt;&lt;Field id=&quot;UserGroup.3C2872A608EC491C87C20EC4D627F940&quot; value=&quot;Den Haag&quot;/&gt;&lt;Field id=&quot;UserGroup.1DAACD305718432EB62837BF283FE41A&quot; value=&quot;Rijnstraat&quot;/&gt;&lt;Field id=&quot;UserGroup.017784232DF94C69A789039FE0737FDD&quot; value=&quot;50&quot;/&gt;&lt;Field id=&quot;UserGroup.6CF05FDCF99F494BBE55EB3B69B368B9&quot; value=&quot;Den Haag&quot;/&gt;&lt;Field id=&quot;UserGroup.86F5FDAA53FA43EE95E58B579AC1AF7A&quot; value=&quot;+31-70-412 3456&quot;/&gt;&lt;Field id=&quot;UserGroup.59E8DB1ACC5B44E0BAA6DAD5F0E62A8E&quot; value=&quot;+31-70-412 3450&quot;/&gt;&lt;Field id=&quot;UserGroup.494A92D6BCC64AB8912DD53490885246&quot; value=&quot;www.rijksoverheid.nl&quot;/&gt;&lt;Field id=&quot;UserGroup.CA6E7ACDCA96490CBA918B9AF4EB44D5&quot; value=&quot;OCW&quot;/&gt;&lt;Field id=&quot;UserGroup.D09D9CE02255438AA7AAB3C07AD5287D&quot; value=&quot;&quot;/&gt;&lt;Field id=&quot;UserGroup.30ED2F62CF5C4F969E8D0662AA60ACF1&quot; value=&quot;Fons Dingelstad&quot;/&gt;&lt;Field id=&quot;UserGroup.92A810531841458EA421E4A78B39896C&quot; value=&quot;&quot;/&gt;&lt;Field id=&quot;UserGroup.CCF539C106E04983810964EABF88BEA7&quot; value=&quot;&quot;/&gt;&lt;Field id=&quot;UserGroup.B6D16C567E8747049E6328799A98A81C&quot; value=&quot;&quot;/&gt;&lt;Field id=&quot;UserGroup.42322026BD3A4EDBBB13C01F0BF536F7&quot; value=&quot;P.O. Box 16375&quot;/&gt;&lt;Field id=&quot;UserGroup.26D0C618E5F34862BB204EF65A9834C5&quot; value=&quot;&quot;/&gt;&lt;Field id=&quot;UserGroup.0C73AB2D30514C92B940A0B209F32216&quot; value=&quot;&quot;/&gt;&lt;Field id=&quot;UserGroup.85101AD57012478EB0EE524B623376EF&quot; value=&quot;Department for Primary Education&quot;/&gt;&lt;Field id=&quot;UserGroup.FCC622CE89EA43279501BAAD498586E2&quot; value=&quot;&quot;/&gt;&lt;Field id=&quot;UserGroup.69EE57F127204B2C86B5C57D8CE57F8D&quot; value=&quot;&quot;/&gt;&lt;Field id=&quot;UserGroup.C824FF864B2B46078FFB8022751A5FA8&quot; value=&quot;The Hague&quot;/&gt;&lt;Field id=&quot;UserGroup.E0BD4150564441589EE3EA1C38018BF9&quot; value=&quot;&quot;/&gt;&lt;Field id=&quot;UserGroup.D5F6D881FFAC438592571763AC6BC4B5&quot; value=&quot;&quot;/&gt;&lt;Field id=&quot;UserGroup.BC1317E875604E1FB65651143DC14E6B&quot; value=&quot;The Netherlands&quot;/&gt;&lt;Field id=&quot;UserGroup.6C1062083E6B4CF8AB03D6EDF06B0829&quot; value=&quot;&quot;/&gt;&lt;Field id=&quot;UserGroup.84B780F6AED94DEBAD140A9BAE098B77&quot; value=&quot;&quot;/&gt;&lt;Field id=&quot;UserGroup.36870F9DF6D840C69DE42BB237D9E5E3&quot; value=&quot;Ministry of Education, Culture and Science&quot;/&gt;&lt;Field id=&quot;UserGroup.BBFCF84016024CBFAE5FE9B3E761129A&quot; value=&quot;&quot;/&gt;&lt;Field id=&quot;Author.0&quot; value=&quot;0679A8946C0B46199F2C354FC567D407&quot;/&gt;&lt;Field id=&quot;Author.1&quot; value=&quot;Firet&quot;/&gt;&lt;Field id=&quot;Author.2&quot; value=&quot;E.M.&quot;/&gt;&lt;Field id=&quot;Author.3&quot; value=&quot;&quot;/&gt;&lt;Field id=&quot;Author.4&quot; value=&quot;Eva&quot;/&gt;&lt;Field id=&quot;Author.5&quot; value=&quot;e.m.firet@minocw.nl&quot;/&gt;&lt;Field id=&quot;Author.6&quot; value=&quot;&quot;/&gt;&lt;Field id=&quot;Author.7&quot; value=&quot;&quot;/&gt;&lt;Field id=&quot;Author.8&quot; value=&quot;&quot;/&gt;&lt;Field id=&quot;Author.9&quot; value=&quot;o200fir&quot; mappedto=&quot;AUTHOR_ID&quot;/&gt;&lt;Field id=&quot;Author.10&quot; value=&quot;True&quot;/&gt;&lt;Field id=&quot;Author.11&quot; value=&quot;1&quot;/&gt;&lt;Field id=&quot;Author.12&quot; value=&quot;&quot;/&gt;&lt;Field id=&quot;Author.13&quot; value=&quot;HOFT&quot;/&gt;&lt;Field id=&quot;Author.14&quot; value=&quot;Firet&quot;/&gt;&lt;Field id=&quot;Author.E72E562AD10E44CF8B0BB85626A7CED6&quot; value=&quot;Ma&quot;/&gt;&lt;Field id=&quot;Author.2A7545B21CF14EEBBD8CE2FB110ECA76&quot; value=&quot;&quot;/&gt;&lt;Field id=&quot;Author.07A356D7877849EBA5C9C7CF16E58D5F&quot; value=&quot;&quot;/&gt;&lt;Field id=&quot;Author.316524BDEDA04B27B02489813A15B3D2&quot; value=&quot;&quot;/&gt;&lt;Field id=&quot;Author.764D5833F93D470E8E750B1DAEBD2873&quot; value=&quot;202810&quot;/&gt;&lt;Field id=&quot;Author.978504FDCABC4ECBB9ECA7D9D1C6BAF8&quot; value=&quot;Beleidsmedewerker&quot;/&gt;&lt;Field id=&quot;Author.663F8FD50E584CBAB4C11BDAE47EC065&quot; value=&quot;&quot;/&gt;&lt;Field id=&quot;Author.020D8803A2884AAE9C59114AD64A9B62&quot; value=&quot;&quot;/&gt;&lt;Field id=&quot;Author.B7969BAB035B4138AC8B330187D7E070&quot; value=&quot;&quot;/&gt;&lt;Field id=&quot;Author.82A7DC50A95C44B2833D66A60E989DD1&quot; value=&quot;FLEX&quot;/&gt;&lt;Field id=&quot;Author.E9BB16FB50E04B859D7F26979E793515&quot; value=&quot;+31 6 15 03 82 20&quot;/&gt;&lt;Field id=&quot;Author.9F10345A9CBA40549518EFEBF9616FE7&quot; value=&quot;PO&quot;/&gt;&lt;Field id=&quot;Author.A08FD3E3B58F4E81842FC68F44A9B386&quot; value=&quot;OCW&quot;/&gt;&lt;Field id=&quot;Author.8DC78BAD95DF4C7792B2965626F7CBF4&quot; value=&quot;1&quot;/&gt;&lt;Field id=&quot;Typist.0&quot; value=&quot;0679A8946C0B46199F2C354FC567D407&quot;/&gt;&lt;Field id=&quot;Typist.1&quot; value=&quot;Firet&quot;/&gt;&lt;Field id=&quot;Typist.2&quot; value=&quot;E.M.&quot;/&gt;&lt;Field id=&quot;Typist.3&quot; value=&quot;&quot;/&gt;&lt;Field id=&quot;Typist.4&quot; value=&quot;Eva&quot;/&gt;&lt;Field id=&quot;Typist.5&quot; value=&quot;e.m.firet@minocw.nl&quot;/&gt;&lt;Field id=&quot;Typist.6&quot; value=&quot;&quot;/&gt;&lt;Field id=&quot;Typist.7&quot; value=&quot;&quot;/&gt;&lt;Field id=&quot;Typist.8&quot; value=&quot;&quot;/&gt;&lt;Field id=&quot;Typist.9&quot; value=&quot;o200fir&quot;/&gt;&lt;Field id=&quot;Typist.10&quot; value=&quot;True&quot;/&gt;&lt;Field id=&quot;Typist.11&quot; value=&quot;1&quot;/&gt;&lt;Field id=&quot;Typist.12&quot; value=&quot;&quot;/&gt;&lt;Field id=&quot;Typist.13&quot; value=&quot;HOFT&quot;/&gt;&lt;Field id=&quot;Typist.14&quot; value=&quot;Firet&quot;/&gt;&lt;Field id=&quot;Typist.E72E562AD10E44CF8B0BB85626A7CED6&quot; value=&quot;Ma&quot;/&gt;&lt;Field id=&quot;Typist.2A7545B21CF14EEBBD8CE2FB110ECA76&quot; value=&quot;&quot;/&gt;&lt;Field id=&quot;Typist.07A356D7877849EBA5C9C7CF16E58D5F&quot; value=&quot;&quot;/&gt;&lt;Field id=&quot;Typist.316524BDEDA04B27B02489813A15B3D2&quot; value=&quot;&quot;/&gt;&lt;Field id=&quot;Typist.764D5833F93D470E8E750B1DAEBD2873&quot; value=&quot;202810&quot;/&gt;&lt;Field id=&quot;Typist.978504FDCABC4ECBB9ECA7D9D1C6BAF8&quot; value=&quot;Beleidsmedewerker&quot;/&gt;&lt;Field id=&quot;Typist.663F8FD50E584CBAB4C11BDAE47EC065&quot; value=&quot;&quot;/&gt;&lt;Field id=&quot;Typist.020D8803A2884AAE9C59114AD64A9B62&quot; value=&quot;&quot;/&gt;&lt;Field id=&quot;Typist.B7969BAB035B4138AC8B330187D7E070&quot; value=&quot;&quot;/&gt;&lt;Field id=&quot;Typist.82A7DC50A95C44B2833D66A60E989DD1&quot; value=&quot;FLEX&quot;/&gt;&lt;Field id=&quot;Typist.E9BB16FB50E04B859D7F26979E793515&quot; value=&quot;+31 6 15 03 82 20&quot;/&gt;&lt;Field id=&quot;Typist.9F10345A9CBA40549518EFEBF9616FE7&quot; value=&quot;PO&quot;/&gt;&lt;Field id=&quot;Typist.A08FD3E3B58F4E81842FC68F44A9B386&quot; value=&quot;OCW&quot;/&gt;&lt;Field id=&quot;Typist.8DC78BAD95DF4C7792B2965626F7CBF4&quot; value=&quot;1&quot;/&gt;&lt;Field id=&quot;TemplateGroup.0&quot; value=&quot;367B10F0FA38400597068BD368D08869&quot;/&gt;&lt;Field id=&quot;TemplateGroup.1&quot; value=&quot;Algemene correspondentie&quot;/&gt;&lt;Field id=&quot;Template.0&quot; value=&quot;2A13AFB0B67D45B9B310EFAC5CA3B06B&quot;/&gt;&lt;Field id=&quot;Template.1&quot; value=&quot;Brief&quot;/&gt;&lt;Field id=&quot;Template.2&quot; value=&quot;False&quot;/&gt;&lt;Field id=&quot;Template.3&quot; value=&quot;1&quot;/&gt;&lt;Field id=&quot;Template.4&quot; value=&quot;TP2A13AFB0B67D45B9B310EFAC5CA3B06B.sdp&quot;/&gt;&lt;Field id=&quot;Template.F7CF6B99D03B4E9BA5ADC2EAD0AF8DE8&quot; value=&quot;OCW&quot;/&gt;&lt;Field id=&quot;Template.C0486B6320E844FAB73B6A4011279223&quot; value=&quot;P&quot;/&gt;&lt;Field id=&quot;Template.1837871373234C94AE26FC6D93758E9C&quot; value=&quot;Peter Schooneman&quot;/&gt;&lt;Field id=&quot;Template.15D954F41372414FA0E4E16EE35B749F&quot; value=&quot;&quot;/&gt;&lt;Field id=&quot;Template.8CDC4EF44CCB4365AFBEA664ED47E844&quot; value=&quot;&quot;/&gt;&lt;Field id=&quot;Template.64322E333ECB45DE8025BEF063039340&quot; value=&quot;&quot;/&gt;&lt;Field id=&quot;Template.91098CFAEA204A09BBCE869F325F0508&quot; value=&quot;&quot;/&gt;&lt;Field id=&quot;Template.451F10CB809E47E7B36537F7EF115F40&quot; value=&quot;&quot;/&gt;&lt;Field id=&quot;Template.A4DB0498FEDD4C07943454213B598A3C&quot; value=&quot;&quot;/&gt;&lt;Field id=&quot;Template.A97CAEBCA6F547EEBE8CB9713D2C0216&quot; value=&quot;&quot;/&gt;&lt;Field id=&quot;Template.8F8E3F265FA34288991248671F64241F&quot; value=&quot;&quot;/&gt;&lt;Field id=&quot;Template.288DF80FADA142E5B609D6FAF28E1279&quot; value=&quot;&quot;/&gt;&lt;Field id=&quot;Template.432C701549E64BE88705CC101DA5277E&quot; value=&quot;&quot;/&gt;&lt;Field id=&quot;Template.5608B6A7188D4C29AEA54059FA59FC48&quot; value=&quot;&quot;/&gt;&lt;Field id=&quot;Template.6742968E0D174AA4A6EA48CB5CB1DDE5&quot; value=&quot;&quot;/&gt;&lt;Field id=&quot;Template.3CA9E00839534E75A8648410406A1700&quot; value=&quot;&quot;/&gt;&lt;Field id=&quot;Template.FA0CC81707E34D25B534B6C000A6596E&quot; value=&quot;UITGAAND&quot; mappedto=&quot;RICHTING&quot;/&gt;&lt;Field id=&quot;Template.B50F40B821C742F294C218853C110EF9&quot; value=&quot;BRIEF&quot; mappedto=&quot;TYPE_ID&quot;/&gt;&lt;Field id=&quot;Template.9BC47C9B7214445DB3739239A0BA1B94&quot; value=&quot;&quot; mappedto=&quot;OCW_DOCVORM&quot;/&gt;&lt;Field id=&quot;Template.D2BC391A04AA4E3486CB26C52BDD0C02&quot; value=&quot;&quot; mappedto=&quot;SOORT_ID&quot;/&gt;&lt;Field id=&quot;Template.D14AE46522664BBAB3C279BB6F961E0C&quot; value=&quot;&quot;/&gt;&lt;Field id=&quot;Header.0&quot; value=&quot;684479A886184C6D8688A3088C2EE368&quot;/&gt;&lt;Field id=&quot;Header.1&quot; value=&quot;Brief (meertalig)&quot;/&gt;&lt;Field id=&quot;Header.2&quot; value=&quot;False&quot;/&gt;&lt;Field id=&quot;Header.3&quot; value=&quot;HD684479A886184C6D8688A3088C2EE368.sdp&quot;/&gt;&lt;Field id=&quot;Header.FAA8232E53FD4342BD59A15773591226&quot; value=&quot;OCW&quot;/&gt;&lt;Field id=&quot;Header.6A0C0E2AD38D4DC7BA9588308F94594F&quot; value=&quot;&quot;/&gt;&lt;Field id=&quot;Header.850AAB5EB1CF48149D916EDEBF2E1015&quot; value=&quot;&quot;/&gt;&lt;Field id=&quot;Header.5BAC16C0EB554454B88579B745189D5E&quot; value=&quot;Eerste pagina lade 1 logopapier, volgpagina's lade 2&quot;/&gt;&lt;Field id=&quot;Document.5&quot; value=&quot;D3BDBD50DB98469BBBC88732F3E11F5F&quot;/&gt;&lt;Field id=&quot;42A8A342A9DE4673BFA491F68EA84788&quot; description=&quot;Taal&quot; value=&quot;Nederlands&quot;/&gt;&lt;Field id=&quot;76EFB07757124E5DA7F6AD8148DEBFC3&quot; description=&quot;Taal - Datum&quot; value=&quot;Nederlands&quot;/&gt;&lt;Field id=&quot;D8C1C25BDA704160A1B2633F47D94A06&quot; description=&quot;Taal - Datum keuze&quot; value=&quot;Nederlands&quot;/&gt;&lt;Field id=&quot;CC0E2B14143545F2AB0ECA44CFA5E504&quot; description=&quot;Taal - Retouradres&quot; value=&quot;Nederlands&quot;/&gt;&lt;Field id=&quot;D89A4E2EF36345ECBE28A79ACD7C24A1&quot; description=&quot;Taal - Logo&quot; value=&quot;Nederlands&quot;/&gt;&lt;Field id=&quot;BEBFA09FF49F4993A43B6F6BE9C96A74&quot; description=&quot;Taal - Pagina&quot; value=&quot;Nederlands&quot;/&gt;&lt;Field id=&quot;0E16A49590B943B9A1CC1D1145B5AC79&quot; description=&quot;Betreft&quot; mappedto=&quot;DOCNAME&quot; value=&quot;Actualisatie verdeling middelen onderwijsachterstandenbeleid scholen en gemeenten&quot;/&gt;&lt;Field id=&quot;79EF07FF29B04ACD90F5BFF4D325E8A4&quot; description=&quot;Datum document&quot; mappedto=&quot;OCW_DATE&quot; value=&quot;3/21/2018 2:17:43 PM&quot;/&gt;&lt;Field id=&quot;93B860034E08473390E85D9F48062CCA&quot; description=&quot;Datum op later moment invullen&quot; value=&quot;Nee&quot;/&gt;&lt;Field id=&quot;493EFB1F0DB647D88BFE5F7D4A5511BA&quot; description=&quot;Taal - Betreft&quot; value=&quot;Nederlands&quot;/&gt;&lt;Field id=&quot;76EFB07757124E5DA7F6AD8148DEBFC3&quot; description=&quot;Taal - Datum&quot; value=&quot;Nederlands&quot;/&gt;&lt;Field id=&quot;E059C33C0FE7425FB175075ADE70C36D&quot; description=&quot;Taal&quot; value=&quot;Nederlands&quot;/&gt;&lt;Field id=&quot;C396CF262078470186000D119337754C&quot; description=&quot;Organisatie&quot; value=&quot;&quot;/&gt;&lt;Field id=&quot;1EC3A43A049842FAA8B48E189A0364ED&quot; description=&quot;t.a.v.&quot; value=&quot;Nee&quot;/&gt;&lt;Field id=&quot;01C0EFDFB8E349C5960EE3853945BC3A&quot; description=&quot;Aanhef&quot; value=&quot;Geachte&quot;/&gt;&lt;Field id=&quot;6E267DAC293C495390CE576DCC43DC11&quot; description=&quot;HeerMevrouw&quot; value=&quot;heer&quot;/&gt;&lt;Field id=&quot;273693FFCB6748FA81F40B6D9D83372A&quot; description=&quot;Titel(s) voor&quot; value=&quot;&quot;/&gt;&lt;Field id=&quot;BFEBB2CEB5874FFB8B15955D31EE5820&quot; description=&quot;Voorletter(s)&quot; value=&quot;&quot;/&gt;&lt;Field id=&quot;92C2CD84466046408CA02F9C9B09B036&quot; description=&quot;Tussenvoegsel(s)&quot; value=&quot;&quot;/&gt;&lt;Field id=&quot;6D0101664A3D4D7B9ECEEF34729E14AE&quot; description=&quot;Voornaam&quot; value=&quot;&quot;/&gt;&lt;Field id=&quot;7150465CBBA342B0A0065B3DAEA902C3&quot; description=&quot;Achternaam&quot; value=&quot;&quot;/&gt;&lt;Field id=&quot;357CE5E269CA4C05803034177F8E635B&quot; description=&quot;Titel(s) achter&quot; value=&quot;&quot;/&gt;&lt;Field id=&quot;AF46FD03B1464B2A866A7C37DEF00F5B&quot; description=&quot;Straatnaam&quot; value=&quot;&quot;/&gt;&lt;Field id=&quot;99A5B0924522429B97DC439E1E9676C5&quot; description=&quot;Nummer&quot; value=&quot;&quot;/&gt;&lt;Field id=&quot;E34BF78AB2AA43DF9F9B7036408A6C08&quot; description=&quot;Postcode&quot; value=&quot;&quot;/&gt;&lt;Field id=&quot;B0E5859962DE4D04B20D89FF71171594&quot; description=&quot;Plaatsnaam&quot; value=&quot;&quot;/&gt;&lt;Field id=&quot;F5D390F6AD6E460ABD08650B17B7E273&quot; description=&quot;Land&quot; value=&quot;Nederland&quot;/&gt;&lt;Field id=&quot;EB941B11840F44478A55D7C20FD9D834&quot; description=&quot;Adres&quot; value=&quot;Handmatig invullen&quot;/&gt;&lt;Field id=&quot;5672106E326D43F79ABEA3A72418BF92&quot; description=&quot;Taal - tav&quot; value=&quot;Nederlands&quot;/&gt;&lt;Field id=&quot;7101EF55A30B4D849EE303C66DD45E01&quot; description=&quot;DeheerMevrouw&quot; value=&quot;de heer&quot;/&gt;&lt;Field id=&quot;2FF614908F294BD2B91BB5EC5796FE5B&quot; description=&quot;Taal - DeheerMevrouw&quot; value=&quot;Nederlands&quot;/&gt;&lt;Field id=&quot;6A39FC58F7EC4575A293ACEAFE58C00A&quot; description=&quot;Organisatie&quot; mappedto=&quot;OCW_NAW_ORG&quot; value=&quot;&quot;/&gt;&lt;Field id=&quot;7FFBC3452A804C098FCA3A5F77DF2D46&quot; description=&quot;Titel(s) voor&quot; mappedto=&quot;OCW_NAW_TITELV&quot; value=&quot;&quot;/&gt;&lt;Field id=&quot;442C0170B8884A00B327022C44484F50&quot; description=&quot;Voorletter(s)&quot; mappedto=&quot;OCW_NAW_VRLTRS&quot; value=&quot;&quot;/&gt;&lt;Field id=&quot;905C1F78D5164CF699E7A808762E50D8&quot; description=&quot;Voornaam&quot; mappedto=&quot;OCW_NAW_VRNAAM&quot; value=&quot;&quot;/&gt;&lt;Field id=&quot;441BF8A804C548388172C933BDD414B3&quot; description=&quot;Tussenvoegsel(s)&quot; mappedto=&quot;OCW_NAW_TUSSEN&quot; value=&quot;&quot;/&gt;&lt;Field id=&quot;3B42BBB0174A420CA289F0C6870257CA&quot; description=&quot;Achternaam&quot; mappedto=&quot;OCW_NAW_NAAM&quot; value=&quot;&quot;/&gt;&lt;Field id=&quot;137E80131880493D9AF74AB89A326E98&quot; description=&quot;Titel(s) achter&quot; mappedto=&quot;OCW_NAW_TITELA&quot; value=&quot;&quot;/&gt;&lt;Field id=&quot;50CBBA138AD3416786F842B623E49F19&quot; description=&quot;Straatnaam&quot; mappedto=&quot;OCW_NAW_ADRES&quot; value=&quot;&quot;/&gt;&lt;Field id=&quot;A6E891FCED134286A14A0FFD095E4459&quot; description=&quot;Nummer&quot; mappedto=&quot;OCW_NAW_HUISNR&quot; value=&quot;&quot;/&gt;&lt;Field id=&quot;F9DF96799CA6412990FDABFB0678C4F2&quot; description=&quot;Postcode&quot; mappedto=&quot;OCW_NAW_POSTC&quot; value=&quot;&quot;/&gt;&lt;Field id=&quot;42EC7E8FFD554889B6ECC67C79B13780&quot; description=&quot;Plaatsnaam&quot; mappedto=&quot;OCW_NAW_WOONPLAATS&quot; value=&quot;&quot;/&gt;&lt;Field id=&quot;143C45E78FF34281B731DDBD0A5D2529&quot; description=&quot;Geslacht&quot; value=&quot;M&quot;/&gt;&lt;Field id=&quot;E2BE550C90CD4EC1A3EE5000EA00A0C9&quot; description=&quot;Aantal bijlagen&quot; value=&quot;&quot;/&gt;&lt;Field id=&quot;66B30B843B0E45B38B23F8C9992CA435&quot; description=&quot;Datum&quot; value=&quot;3/21/2018 2:17:43 PM&quot;/&gt;&lt;Field id=&quot;A746841F87014F8D85F9ED5676961DEF&quot; description=&quot;Uw referentie&quot; value=&quot;&quot;/&gt;&lt;Field id=&quot;8B10356EE6CF4D1F8D25B78952B294E3&quot; description=&quot;Antwoord op&quot; value=&quot;Uw brief&quot;/&gt;&lt;Field id=&quot;EEE9FD5FDF8D47A1A245DCD9853178AB&quot; description=&quot;Bezwaarclausule&quot; value=&quot;(geen)&quot;/&gt;&lt;Field id=&quot;668F50234ED7423A81F72A2C0998E4EC&quot; description=&quot;Taal - Algemeen adres&quot; value=&quot;Nederlands&quot;/&gt;&lt;Field id=&quot;6BE7FB744ACC4AF3885177E0672A83F9&quot; description=&quot;Taal - Contactpersoon&quot; value=&quot;Nederlands&quot;/&gt;&lt;Field id=&quot;661209E3283F4737BFDC91B73FEC178D&quot; description=&quot;Taal - Onze referentie&quot; value=&quot;Nederlands&quot;/&gt;&lt;Field id=&quot;9564C6ACA4BE4E4FB3160CDC2968CC90&quot; description=&quot;Taal - Uw referentie&quot; value=&quot;Nederlands&quot;/&gt;&lt;Field id=&quot;75CB4D909C1E41E79CD2FE309887B32D&quot; description=&quot;Taal - Bijlagen&quot; value=&quot;Nederlands&quot;/&gt;&lt;Field id=&quot;B91DBCCB9DCD4A318982A5518AB61D3C&quot; description=&quot;Taal - Algemene clausule&quot; value=&quot;Nederlands&quot;/&gt;&lt;Field id=&quot;0DBF620C44C04CF9A7C1A6D4EA5B542E&quot; description=&quot;Taal - Clausule voor personele aangelegenheden&quot; value=&quot;Nederlands&quot;/&gt;&lt;Field id=&quot;B8EC36C1C1BD435FAF5B51891627247B&quot; description=&quot;Taal - Uw brief&quot; value=&quot;Nederlands&quot;/&gt;&lt;Field id=&quot;187A2E3F8C0B41EEB853C9E388E3A072&quot; description=&quot;Taal - Uw e-mail&quot; value=&quot;Nederlands&quot;/&gt;&lt;Field id=&quot;5D67860CD4254EE7B59DCF9A7F5428ED&quot; description=&quot;Taal - Uw fax&quot; value=&quot;Nederlands&quot;/&gt;&lt;Field id=&quot;2EA4F889431C4E0C9AB19BBAAC22E271&quot; description=&quot;Taal - Directienaam&quot; value=&quot;Nederlands&quot;/&gt;&lt;Field id=&quot;2A40389C993D45EC9CF82C455E4CE1A6&quot; description=&quot;Uw referentie - inhoud&quot; value=&quot;&quot;/&gt;&lt;Field id=&quot;D14D570E19CE473C82F61E3CB41A7DB4&quot; description=&quot;E-Doc Dossier&quot; mappedto=&quot;PD_FILEPT_NO&quot; value=&quot;&quot;/&gt;&lt;Field id=&quot;B65D4FEC49AD4CE6808563EA88D6B79F&quot; description=&quot;HeerMevrouw&quot; value=&quot;de heer&quot;/&gt;&lt;Field id=&quot;94B22B8F48924EF98CD569433124F655&quot; description=&quot;Taal - Aanhef geachte&quot; value=&quot;Aanhef geachte Nederlands&quot;/&gt;&lt;Field id=&quot;9656C2DC3CB34830A5810E022C657F8C&quot; description=&quot;Taal - Aanhef&quot; value=&quot;Geachte&quot;/&gt;&lt;Field id=&quot;68BEA0B7C63D49FB9BD0003DFE9935DC&quot; description=&quot;Taal - Met vriendelijke groet&quot; value=&quot;Nederlands&quot;/&gt;&lt;Field id=&quot;2D71157921074FAAAEB61F30503877D3&quot; description=&quot;Betreft het een brief of beschikking?&quot; value=&quot;Brief&quot;/&gt;&lt;Field id=&quot;6B12B17DB27C4449A7FAB778F9DF4B37&quot; description=&quot; &quot; value=&quot;Nederlands&quot;/&gt;&lt;Field id=&quot;C176A2476FB44539BA9507DFBE15B0C8&quot; description=&quot;Ondertekenaar&quot; value=&quot;Minister voor BVOM&quot;/&gt;&lt;Field id=&quot;0187A1EE05954B31AC6B3A97B3A27B3B&quot; description=&quot;Ondertekening&quot; value=&quot;Standaardondertekening&quot;/&gt;&lt;Field id=&quot;A910F8C477E04F6C85FE7EDD27CD7A39&quot; description=&quot;Selectie - Ondertekenaar&quot; value=&quot;Brief&quot;/&gt;&lt;Field id=&quot;75FEF318B4F44814963017EB97D51EC8&quot; description=&quot;Selectie - Namens ander&quot; value=&quot;Brief&quot;/&gt;&lt;/Fields&gt;_x000d__x000a_"/>
  </w:docVars>
  <w:rsids>
    <w:rsidRoot w:val="000035DB"/>
    <w:rsid w:val="00003185"/>
    <w:rsid w:val="000035DB"/>
    <w:rsid w:val="00003F57"/>
    <w:rsid w:val="00006C55"/>
    <w:rsid w:val="00013862"/>
    <w:rsid w:val="00014599"/>
    <w:rsid w:val="00016012"/>
    <w:rsid w:val="00017D85"/>
    <w:rsid w:val="00020189"/>
    <w:rsid w:val="00020EE4"/>
    <w:rsid w:val="00020FCB"/>
    <w:rsid w:val="000217E8"/>
    <w:rsid w:val="00023E9A"/>
    <w:rsid w:val="00024379"/>
    <w:rsid w:val="00025A42"/>
    <w:rsid w:val="000324E8"/>
    <w:rsid w:val="00033CDD"/>
    <w:rsid w:val="000341BA"/>
    <w:rsid w:val="00034A84"/>
    <w:rsid w:val="00034D28"/>
    <w:rsid w:val="00035E67"/>
    <w:rsid w:val="000366F3"/>
    <w:rsid w:val="00036CEA"/>
    <w:rsid w:val="000407BB"/>
    <w:rsid w:val="00040DA1"/>
    <w:rsid w:val="0005447D"/>
    <w:rsid w:val="000546DE"/>
    <w:rsid w:val="0006024D"/>
    <w:rsid w:val="00062055"/>
    <w:rsid w:val="00070B32"/>
    <w:rsid w:val="00070B35"/>
    <w:rsid w:val="00071F28"/>
    <w:rsid w:val="00074079"/>
    <w:rsid w:val="00076225"/>
    <w:rsid w:val="000765B6"/>
    <w:rsid w:val="0008289C"/>
    <w:rsid w:val="0008539E"/>
    <w:rsid w:val="00090B9C"/>
    <w:rsid w:val="00092799"/>
    <w:rsid w:val="00092A99"/>
    <w:rsid w:val="00092C5F"/>
    <w:rsid w:val="00093ABC"/>
    <w:rsid w:val="00096680"/>
    <w:rsid w:val="000A0F36"/>
    <w:rsid w:val="000A174A"/>
    <w:rsid w:val="000A2D87"/>
    <w:rsid w:val="000A3E0A"/>
    <w:rsid w:val="000A5FDC"/>
    <w:rsid w:val="000A65AC"/>
    <w:rsid w:val="000A70E0"/>
    <w:rsid w:val="000B7281"/>
    <w:rsid w:val="000B7FAB"/>
    <w:rsid w:val="000C1BA1"/>
    <w:rsid w:val="000C2D85"/>
    <w:rsid w:val="000C3EA9"/>
    <w:rsid w:val="000C4A32"/>
    <w:rsid w:val="000C65BB"/>
    <w:rsid w:val="000C7119"/>
    <w:rsid w:val="000D0225"/>
    <w:rsid w:val="000D6399"/>
    <w:rsid w:val="000E5886"/>
    <w:rsid w:val="000E7895"/>
    <w:rsid w:val="000F161D"/>
    <w:rsid w:val="000F1B4E"/>
    <w:rsid w:val="000F1FFF"/>
    <w:rsid w:val="000F41FC"/>
    <w:rsid w:val="00100203"/>
    <w:rsid w:val="00104B4D"/>
    <w:rsid w:val="001056CA"/>
    <w:rsid w:val="001177B4"/>
    <w:rsid w:val="00117B2A"/>
    <w:rsid w:val="00122CF9"/>
    <w:rsid w:val="00123704"/>
    <w:rsid w:val="0012535F"/>
    <w:rsid w:val="00126AF2"/>
    <w:rsid w:val="001270C7"/>
    <w:rsid w:val="0012745A"/>
    <w:rsid w:val="00132540"/>
    <w:rsid w:val="00132E7C"/>
    <w:rsid w:val="0013458D"/>
    <w:rsid w:val="001377D4"/>
    <w:rsid w:val="00142E41"/>
    <w:rsid w:val="0014786A"/>
    <w:rsid w:val="001516A4"/>
    <w:rsid w:val="00151E5F"/>
    <w:rsid w:val="00153BD0"/>
    <w:rsid w:val="001569AB"/>
    <w:rsid w:val="00162567"/>
    <w:rsid w:val="00164D63"/>
    <w:rsid w:val="0016725C"/>
    <w:rsid w:val="00167D58"/>
    <w:rsid w:val="00167DE5"/>
    <w:rsid w:val="0017008F"/>
    <w:rsid w:val="001726F3"/>
    <w:rsid w:val="00173C51"/>
    <w:rsid w:val="001740B9"/>
    <w:rsid w:val="00174CC2"/>
    <w:rsid w:val="00176CC6"/>
    <w:rsid w:val="00177B41"/>
    <w:rsid w:val="0018193C"/>
    <w:rsid w:val="00181BE4"/>
    <w:rsid w:val="0018496F"/>
    <w:rsid w:val="00185576"/>
    <w:rsid w:val="00185951"/>
    <w:rsid w:val="001922DC"/>
    <w:rsid w:val="00194A00"/>
    <w:rsid w:val="00196B8B"/>
    <w:rsid w:val="001A0BFA"/>
    <w:rsid w:val="001A1608"/>
    <w:rsid w:val="001A2BEA"/>
    <w:rsid w:val="001A325F"/>
    <w:rsid w:val="001A6D93"/>
    <w:rsid w:val="001B2BBA"/>
    <w:rsid w:val="001B35FA"/>
    <w:rsid w:val="001C006F"/>
    <w:rsid w:val="001C2A35"/>
    <w:rsid w:val="001C32EC"/>
    <w:rsid w:val="001C38BD"/>
    <w:rsid w:val="001C4D5A"/>
    <w:rsid w:val="001D58C8"/>
    <w:rsid w:val="001E0256"/>
    <w:rsid w:val="001E34C6"/>
    <w:rsid w:val="001E5518"/>
    <w:rsid w:val="001E5581"/>
    <w:rsid w:val="001E7197"/>
    <w:rsid w:val="001F3C70"/>
    <w:rsid w:val="001F5027"/>
    <w:rsid w:val="00200D88"/>
    <w:rsid w:val="00201C09"/>
    <w:rsid w:val="00201F68"/>
    <w:rsid w:val="00210BA3"/>
    <w:rsid w:val="00212004"/>
    <w:rsid w:val="00212F2A"/>
    <w:rsid w:val="00214F2B"/>
    <w:rsid w:val="00215D8B"/>
    <w:rsid w:val="00222D66"/>
    <w:rsid w:val="0022441A"/>
    <w:rsid w:val="00224A8A"/>
    <w:rsid w:val="002309A8"/>
    <w:rsid w:val="00236CFE"/>
    <w:rsid w:val="002428E3"/>
    <w:rsid w:val="0024430A"/>
    <w:rsid w:val="00245FF7"/>
    <w:rsid w:val="00253B65"/>
    <w:rsid w:val="00255BBF"/>
    <w:rsid w:val="0026060B"/>
    <w:rsid w:val="00260BAF"/>
    <w:rsid w:val="002610A6"/>
    <w:rsid w:val="00263FD6"/>
    <w:rsid w:val="002650F7"/>
    <w:rsid w:val="0026686B"/>
    <w:rsid w:val="00266DD3"/>
    <w:rsid w:val="00273F3B"/>
    <w:rsid w:val="00274DB7"/>
    <w:rsid w:val="00275984"/>
    <w:rsid w:val="00276199"/>
    <w:rsid w:val="002768F3"/>
    <w:rsid w:val="00276DA4"/>
    <w:rsid w:val="00280F74"/>
    <w:rsid w:val="00283FD9"/>
    <w:rsid w:val="00286998"/>
    <w:rsid w:val="00291AB7"/>
    <w:rsid w:val="0029422B"/>
    <w:rsid w:val="00294543"/>
    <w:rsid w:val="00294A68"/>
    <w:rsid w:val="00294DCB"/>
    <w:rsid w:val="002A06CE"/>
    <w:rsid w:val="002A37B5"/>
    <w:rsid w:val="002A6722"/>
    <w:rsid w:val="002B153C"/>
    <w:rsid w:val="002B52FC"/>
    <w:rsid w:val="002C26D0"/>
    <w:rsid w:val="002C2830"/>
    <w:rsid w:val="002C3CE0"/>
    <w:rsid w:val="002C40AF"/>
    <w:rsid w:val="002C5774"/>
    <w:rsid w:val="002D001A"/>
    <w:rsid w:val="002D28E2"/>
    <w:rsid w:val="002D317B"/>
    <w:rsid w:val="002D3587"/>
    <w:rsid w:val="002D3F4E"/>
    <w:rsid w:val="002D502D"/>
    <w:rsid w:val="002D6C72"/>
    <w:rsid w:val="002D6D8D"/>
    <w:rsid w:val="002E0EA1"/>
    <w:rsid w:val="002E0F69"/>
    <w:rsid w:val="002E1572"/>
    <w:rsid w:val="002E2142"/>
    <w:rsid w:val="002E29D8"/>
    <w:rsid w:val="002E2DA3"/>
    <w:rsid w:val="002E4CF2"/>
    <w:rsid w:val="002E6C81"/>
    <w:rsid w:val="002E6FC0"/>
    <w:rsid w:val="002F258D"/>
    <w:rsid w:val="002F2879"/>
    <w:rsid w:val="002F3F37"/>
    <w:rsid w:val="002F493B"/>
    <w:rsid w:val="002F4ED5"/>
    <w:rsid w:val="002F5147"/>
    <w:rsid w:val="002F5A0B"/>
    <w:rsid w:val="002F71BB"/>
    <w:rsid w:val="002F7ABD"/>
    <w:rsid w:val="00307B3C"/>
    <w:rsid w:val="00307B6D"/>
    <w:rsid w:val="00310EF2"/>
    <w:rsid w:val="003115A6"/>
    <w:rsid w:val="00312597"/>
    <w:rsid w:val="00322836"/>
    <w:rsid w:val="00334154"/>
    <w:rsid w:val="003341D0"/>
    <w:rsid w:val="003372C4"/>
    <w:rsid w:val="00341FA0"/>
    <w:rsid w:val="00342374"/>
    <w:rsid w:val="0034430F"/>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7715E"/>
    <w:rsid w:val="00383DA1"/>
    <w:rsid w:val="00385F30"/>
    <w:rsid w:val="0038654A"/>
    <w:rsid w:val="00387600"/>
    <w:rsid w:val="00393696"/>
    <w:rsid w:val="00393963"/>
    <w:rsid w:val="00395575"/>
    <w:rsid w:val="00395672"/>
    <w:rsid w:val="00397602"/>
    <w:rsid w:val="003A06C8"/>
    <w:rsid w:val="003A0D7C"/>
    <w:rsid w:val="003B0155"/>
    <w:rsid w:val="003B4551"/>
    <w:rsid w:val="003B528D"/>
    <w:rsid w:val="003B7EE7"/>
    <w:rsid w:val="003C2CCB"/>
    <w:rsid w:val="003C4A1C"/>
    <w:rsid w:val="003C58BC"/>
    <w:rsid w:val="003C5BCB"/>
    <w:rsid w:val="003C6B63"/>
    <w:rsid w:val="003D39EC"/>
    <w:rsid w:val="003D40EA"/>
    <w:rsid w:val="003E3DD5"/>
    <w:rsid w:val="003E64BF"/>
    <w:rsid w:val="003F07C6"/>
    <w:rsid w:val="003F1F6B"/>
    <w:rsid w:val="003F3757"/>
    <w:rsid w:val="003F44B7"/>
    <w:rsid w:val="004008E9"/>
    <w:rsid w:val="004053BD"/>
    <w:rsid w:val="00407991"/>
    <w:rsid w:val="0041019E"/>
    <w:rsid w:val="00413D48"/>
    <w:rsid w:val="0042277C"/>
    <w:rsid w:val="00424A60"/>
    <w:rsid w:val="00434500"/>
    <w:rsid w:val="00441AC2"/>
    <w:rsid w:val="0044249B"/>
    <w:rsid w:val="00443FEB"/>
    <w:rsid w:val="0044605E"/>
    <w:rsid w:val="0045023C"/>
    <w:rsid w:val="00451A5B"/>
    <w:rsid w:val="00452BCD"/>
    <w:rsid w:val="00452CEA"/>
    <w:rsid w:val="00455ADF"/>
    <w:rsid w:val="00463A63"/>
    <w:rsid w:val="00465B52"/>
    <w:rsid w:val="0046708E"/>
    <w:rsid w:val="00467D61"/>
    <w:rsid w:val="0047126E"/>
    <w:rsid w:val="004722BE"/>
    <w:rsid w:val="00472A65"/>
    <w:rsid w:val="00474463"/>
    <w:rsid w:val="00474B75"/>
    <w:rsid w:val="00483F0B"/>
    <w:rsid w:val="00494892"/>
    <w:rsid w:val="0049501A"/>
    <w:rsid w:val="004956C5"/>
    <w:rsid w:val="00496319"/>
    <w:rsid w:val="0049657E"/>
    <w:rsid w:val="00497279"/>
    <w:rsid w:val="004A010B"/>
    <w:rsid w:val="004A3186"/>
    <w:rsid w:val="004A419C"/>
    <w:rsid w:val="004A670A"/>
    <w:rsid w:val="004B5465"/>
    <w:rsid w:val="004B6487"/>
    <w:rsid w:val="004B70F0"/>
    <w:rsid w:val="004C0035"/>
    <w:rsid w:val="004C1299"/>
    <w:rsid w:val="004C7E1D"/>
    <w:rsid w:val="004D065C"/>
    <w:rsid w:val="004D33FE"/>
    <w:rsid w:val="004D39A8"/>
    <w:rsid w:val="004D4703"/>
    <w:rsid w:val="004D505E"/>
    <w:rsid w:val="004D67E8"/>
    <w:rsid w:val="004D6E86"/>
    <w:rsid w:val="004D72CA"/>
    <w:rsid w:val="004D77E6"/>
    <w:rsid w:val="004E2242"/>
    <w:rsid w:val="004F0DD8"/>
    <w:rsid w:val="004F0F6D"/>
    <w:rsid w:val="004F2483"/>
    <w:rsid w:val="004F42FF"/>
    <w:rsid w:val="004F44C2"/>
    <w:rsid w:val="004F5885"/>
    <w:rsid w:val="00501369"/>
    <w:rsid w:val="00504DA9"/>
    <w:rsid w:val="00505262"/>
    <w:rsid w:val="005107B1"/>
    <w:rsid w:val="00516022"/>
    <w:rsid w:val="00521CEE"/>
    <w:rsid w:val="00527BD4"/>
    <w:rsid w:val="00530F93"/>
    <w:rsid w:val="005319BA"/>
    <w:rsid w:val="00533061"/>
    <w:rsid w:val="00533FA1"/>
    <w:rsid w:val="00534C77"/>
    <w:rsid w:val="005403C8"/>
    <w:rsid w:val="00541AD9"/>
    <w:rsid w:val="005429DC"/>
    <w:rsid w:val="00552480"/>
    <w:rsid w:val="005565F9"/>
    <w:rsid w:val="005612A5"/>
    <w:rsid w:val="005639D2"/>
    <w:rsid w:val="00565739"/>
    <w:rsid w:val="005664DA"/>
    <w:rsid w:val="00570757"/>
    <w:rsid w:val="00573041"/>
    <w:rsid w:val="00575420"/>
    <w:rsid w:val="00575B80"/>
    <w:rsid w:val="00577559"/>
    <w:rsid w:val="005819CE"/>
    <w:rsid w:val="0058298D"/>
    <w:rsid w:val="00590595"/>
    <w:rsid w:val="00590FE2"/>
    <w:rsid w:val="00593C2B"/>
    <w:rsid w:val="00595231"/>
    <w:rsid w:val="00595CBB"/>
    <w:rsid w:val="00596166"/>
    <w:rsid w:val="00597F64"/>
    <w:rsid w:val="005A1AF5"/>
    <w:rsid w:val="005A207F"/>
    <w:rsid w:val="005A2F35"/>
    <w:rsid w:val="005A4985"/>
    <w:rsid w:val="005A7512"/>
    <w:rsid w:val="005B3441"/>
    <w:rsid w:val="005B3A2B"/>
    <w:rsid w:val="005B463E"/>
    <w:rsid w:val="005B4FAC"/>
    <w:rsid w:val="005B5D8B"/>
    <w:rsid w:val="005C34E1"/>
    <w:rsid w:val="005C3FE0"/>
    <w:rsid w:val="005C4C82"/>
    <w:rsid w:val="005C6106"/>
    <w:rsid w:val="005C6840"/>
    <w:rsid w:val="005C740C"/>
    <w:rsid w:val="005D625B"/>
    <w:rsid w:val="005E2606"/>
    <w:rsid w:val="005E3322"/>
    <w:rsid w:val="005E436C"/>
    <w:rsid w:val="005E64E2"/>
    <w:rsid w:val="005F0738"/>
    <w:rsid w:val="005F62D3"/>
    <w:rsid w:val="005F6D11"/>
    <w:rsid w:val="00600CF0"/>
    <w:rsid w:val="006048F4"/>
    <w:rsid w:val="0060660A"/>
    <w:rsid w:val="00610A24"/>
    <w:rsid w:val="00613B1D"/>
    <w:rsid w:val="006152DE"/>
    <w:rsid w:val="00617311"/>
    <w:rsid w:val="00617A44"/>
    <w:rsid w:val="006202B6"/>
    <w:rsid w:val="00623CB2"/>
    <w:rsid w:val="00625CD0"/>
    <w:rsid w:val="0062627D"/>
    <w:rsid w:val="00627432"/>
    <w:rsid w:val="006308E6"/>
    <w:rsid w:val="00633376"/>
    <w:rsid w:val="00635031"/>
    <w:rsid w:val="0064192A"/>
    <w:rsid w:val="00641A55"/>
    <w:rsid w:val="00642768"/>
    <w:rsid w:val="006448E4"/>
    <w:rsid w:val="00645414"/>
    <w:rsid w:val="0065244E"/>
    <w:rsid w:val="00652FBE"/>
    <w:rsid w:val="006534D0"/>
    <w:rsid w:val="00653606"/>
    <w:rsid w:val="006610E9"/>
    <w:rsid w:val="00661591"/>
    <w:rsid w:val="00662006"/>
    <w:rsid w:val="00662A78"/>
    <w:rsid w:val="00663187"/>
    <w:rsid w:val="0066632F"/>
    <w:rsid w:val="00666598"/>
    <w:rsid w:val="00674A89"/>
    <w:rsid w:val="00674F3D"/>
    <w:rsid w:val="00676DF0"/>
    <w:rsid w:val="00682E02"/>
    <w:rsid w:val="00685545"/>
    <w:rsid w:val="006864B3"/>
    <w:rsid w:val="00692BA9"/>
    <w:rsid w:val="00692C30"/>
    <w:rsid w:val="00692D64"/>
    <w:rsid w:val="006A10F8"/>
    <w:rsid w:val="006A2100"/>
    <w:rsid w:val="006A350E"/>
    <w:rsid w:val="006B0BF3"/>
    <w:rsid w:val="006B1521"/>
    <w:rsid w:val="006B18D1"/>
    <w:rsid w:val="006B2A77"/>
    <w:rsid w:val="006B421D"/>
    <w:rsid w:val="006B775E"/>
    <w:rsid w:val="006B7B87"/>
    <w:rsid w:val="006B7BC7"/>
    <w:rsid w:val="006C0013"/>
    <w:rsid w:val="006C2093"/>
    <w:rsid w:val="006C2278"/>
    <w:rsid w:val="006C2535"/>
    <w:rsid w:val="006C311B"/>
    <w:rsid w:val="006C3444"/>
    <w:rsid w:val="006C441E"/>
    <w:rsid w:val="006C4B90"/>
    <w:rsid w:val="006C54E0"/>
    <w:rsid w:val="006D1016"/>
    <w:rsid w:val="006D17F2"/>
    <w:rsid w:val="006D2D53"/>
    <w:rsid w:val="006E3546"/>
    <w:rsid w:val="006E3FA9"/>
    <w:rsid w:val="006E737B"/>
    <w:rsid w:val="006E7D82"/>
    <w:rsid w:val="006F038F"/>
    <w:rsid w:val="006F0F93"/>
    <w:rsid w:val="006F273B"/>
    <w:rsid w:val="006F31F2"/>
    <w:rsid w:val="006F62A1"/>
    <w:rsid w:val="00702783"/>
    <w:rsid w:val="00704845"/>
    <w:rsid w:val="007053E4"/>
    <w:rsid w:val="00706AB3"/>
    <w:rsid w:val="00712461"/>
    <w:rsid w:val="00714DC5"/>
    <w:rsid w:val="00715237"/>
    <w:rsid w:val="007174F4"/>
    <w:rsid w:val="00721D2E"/>
    <w:rsid w:val="007242CC"/>
    <w:rsid w:val="00724770"/>
    <w:rsid w:val="00724A8B"/>
    <w:rsid w:val="007254A5"/>
    <w:rsid w:val="00725748"/>
    <w:rsid w:val="00727AAC"/>
    <w:rsid w:val="00735D88"/>
    <w:rsid w:val="0073720D"/>
    <w:rsid w:val="00737507"/>
    <w:rsid w:val="00740712"/>
    <w:rsid w:val="00741309"/>
    <w:rsid w:val="00742AB9"/>
    <w:rsid w:val="00746BFE"/>
    <w:rsid w:val="00751A6A"/>
    <w:rsid w:val="00754FBF"/>
    <w:rsid w:val="007615AC"/>
    <w:rsid w:val="00764585"/>
    <w:rsid w:val="007650EB"/>
    <w:rsid w:val="00765837"/>
    <w:rsid w:val="00767FEF"/>
    <w:rsid w:val="007709EF"/>
    <w:rsid w:val="00783559"/>
    <w:rsid w:val="007846ED"/>
    <w:rsid w:val="00785C3B"/>
    <w:rsid w:val="00797AA5"/>
    <w:rsid w:val="007A26BD"/>
    <w:rsid w:val="007A4105"/>
    <w:rsid w:val="007A4F0E"/>
    <w:rsid w:val="007A514C"/>
    <w:rsid w:val="007A5BE1"/>
    <w:rsid w:val="007B0D8E"/>
    <w:rsid w:val="007B4503"/>
    <w:rsid w:val="007B7CA5"/>
    <w:rsid w:val="007C03C9"/>
    <w:rsid w:val="007C16D8"/>
    <w:rsid w:val="007C406E"/>
    <w:rsid w:val="007C5183"/>
    <w:rsid w:val="007C7573"/>
    <w:rsid w:val="007D2E6C"/>
    <w:rsid w:val="007E14E4"/>
    <w:rsid w:val="007E2B20"/>
    <w:rsid w:val="007E7FFD"/>
    <w:rsid w:val="007F5331"/>
    <w:rsid w:val="00800CCA"/>
    <w:rsid w:val="008020F2"/>
    <w:rsid w:val="00802287"/>
    <w:rsid w:val="0080338C"/>
    <w:rsid w:val="00805237"/>
    <w:rsid w:val="00806120"/>
    <w:rsid w:val="00810C93"/>
    <w:rsid w:val="00812028"/>
    <w:rsid w:val="00812DD8"/>
    <w:rsid w:val="00813082"/>
    <w:rsid w:val="00813527"/>
    <w:rsid w:val="00814120"/>
    <w:rsid w:val="00814D03"/>
    <w:rsid w:val="00815C7E"/>
    <w:rsid w:val="00817380"/>
    <w:rsid w:val="00817BBF"/>
    <w:rsid w:val="00821114"/>
    <w:rsid w:val="008211EF"/>
    <w:rsid w:val="00821FC1"/>
    <w:rsid w:val="00825EF1"/>
    <w:rsid w:val="008267CC"/>
    <w:rsid w:val="0083178B"/>
    <w:rsid w:val="0083280E"/>
    <w:rsid w:val="00833695"/>
    <w:rsid w:val="008336B7"/>
    <w:rsid w:val="00833A8E"/>
    <w:rsid w:val="00834093"/>
    <w:rsid w:val="00835C48"/>
    <w:rsid w:val="0084255A"/>
    <w:rsid w:val="00842CD8"/>
    <w:rsid w:val="008431FA"/>
    <w:rsid w:val="00845810"/>
    <w:rsid w:val="00847BD0"/>
    <w:rsid w:val="008547BA"/>
    <w:rsid w:val="008553C7"/>
    <w:rsid w:val="00857FEB"/>
    <w:rsid w:val="008601AF"/>
    <w:rsid w:val="00860606"/>
    <w:rsid w:val="00872271"/>
    <w:rsid w:val="008731F6"/>
    <w:rsid w:val="0087357D"/>
    <w:rsid w:val="0087467C"/>
    <w:rsid w:val="00874982"/>
    <w:rsid w:val="008762B6"/>
    <w:rsid w:val="00883137"/>
    <w:rsid w:val="00892BA5"/>
    <w:rsid w:val="008A08AC"/>
    <w:rsid w:val="008A1F5D"/>
    <w:rsid w:val="008A28F5"/>
    <w:rsid w:val="008B0E6F"/>
    <w:rsid w:val="008B1198"/>
    <w:rsid w:val="008B2349"/>
    <w:rsid w:val="008B3471"/>
    <w:rsid w:val="008B3929"/>
    <w:rsid w:val="008B3BAB"/>
    <w:rsid w:val="008B4125"/>
    <w:rsid w:val="008B4CB3"/>
    <w:rsid w:val="008B567B"/>
    <w:rsid w:val="008B6AA6"/>
    <w:rsid w:val="008B7B24"/>
    <w:rsid w:val="008C356D"/>
    <w:rsid w:val="008C647F"/>
    <w:rsid w:val="008D1583"/>
    <w:rsid w:val="008E0B3F"/>
    <w:rsid w:val="008E1341"/>
    <w:rsid w:val="008E49AD"/>
    <w:rsid w:val="008E698E"/>
    <w:rsid w:val="008F123F"/>
    <w:rsid w:val="008F2584"/>
    <w:rsid w:val="008F3246"/>
    <w:rsid w:val="008F3C1B"/>
    <w:rsid w:val="008F508C"/>
    <w:rsid w:val="0090271B"/>
    <w:rsid w:val="00910642"/>
    <w:rsid w:val="00910DDF"/>
    <w:rsid w:val="00921861"/>
    <w:rsid w:val="00922276"/>
    <w:rsid w:val="00924639"/>
    <w:rsid w:val="0092611E"/>
    <w:rsid w:val="00926F1F"/>
    <w:rsid w:val="00926F4B"/>
    <w:rsid w:val="00930B13"/>
    <w:rsid w:val="009311C8"/>
    <w:rsid w:val="0093199F"/>
    <w:rsid w:val="0093247D"/>
    <w:rsid w:val="00933376"/>
    <w:rsid w:val="00933A2F"/>
    <w:rsid w:val="0094000D"/>
    <w:rsid w:val="00940206"/>
    <w:rsid w:val="00941B16"/>
    <w:rsid w:val="00946703"/>
    <w:rsid w:val="009528B2"/>
    <w:rsid w:val="009607C4"/>
    <w:rsid w:val="00963440"/>
    <w:rsid w:val="009716D8"/>
    <w:rsid w:val="009718F9"/>
    <w:rsid w:val="009724E4"/>
    <w:rsid w:val="00972FB9"/>
    <w:rsid w:val="00973961"/>
    <w:rsid w:val="00975112"/>
    <w:rsid w:val="009812EB"/>
    <w:rsid w:val="00981768"/>
    <w:rsid w:val="00982888"/>
    <w:rsid w:val="009838BB"/>
    <w:rsid w:val="0098397A"/>
    <w:rsid w:val="00983E8F"/>
    <w:rsid w:val="00992338"/>
    <w:rsid w:val="00994FDA"/>
    <w:rsid w:val="00997D15"/>
    <w:rsid w:val="009A15A3"/>
    <w:rsid w:val="009A226E"/>
    <w:rsid w:val="009A31BF"/>
    <w:rsid w:val="009A3B71"/>
    <w:rsid w:val="009A5914"/>
    <w:rsid w:val="009A61BC"/>
    <w:rsid w:val="009B0138"/>
    <w:rsid w:val="009B0E79"/>
    <w:rsid w:val="009B0FE9"/>
    <w:rsid w:val="009B173A"/>
    <w:rsid w:val="009B5846"/>
    <w:rsid w:val="009B601B"/>
    <w:rsid w:val="009C3F20"/>
    <w:rsid w:val="009C4F09"/>
    <w:rsid w:val="009C550F"/>
    <w:rsid w:val="009C5D77"/>
    <w:rsid w:val="009C64FB"/>
    <w:rsid w:val="009C7CA1"/>
    <w:rsid w:val="009D043D"/>
    <w:rsid w:val="009D2A03"/>
    <w:rsid w:val="009D716F"/>
    <w:rsid w:val="009E3845"/>
    <w:rsid w:val="009F3259"/>
    <w:rsid w:val="009F541F"/>
    <w:rsid w:val="00A0120E"/>
    <w:rsid w:val="00A056DE"/>
    <w:rsid w:val="00A0678A"/>
    <w:rsid w:val="00A072B5"/>
    <w:rsid w:val="00A10A93"/>
    <w:rsid w:val="00A11AEF"/>
    <w:rsid w:val="00A1289E"/>
    <w:rsid w:val="00A128AD"/>
    <w:rsid w:val="00A20730"/>
    <w:rsid w:val="00A20BAF"/>
    <w:rsid w:val="00A21E76"/>
    <w:rsid w:val="00A23BC8"/>
    <w:rsid w:val="00A2531F"/>
    <w:rsid w:val="00A27D73"/>
    <w:rsid w:val="00A30E68"/>
    <w:rsid w:val="00A31933"/>
    <w:rsid w:val="00A34AA0"/>
    <w:rsid w:val="00A41FE2"/>
    <w:rsid w:val="00A46FEF"/>
    <w:rsid w:val="00A47948"/>
    <w:rsid w:val="00A50CF6"/>
    <w:rsid w:val="00A56850"/>
    <w:rsid w:val="00A56946"/>
    <w:rsid w:val="00A604D3"/>
    <w:rsid w:val="00A6170E"/>
    <w:rsid w:val="00A63B8C"/>
    <w:rsid w:val="00A67AC7"/>
    <w:rsid w:val="00A715F8"/>
    <w:rsid w:val="00A738FB"/>
    <w:rsid w:val="00A741BA"/>
    <w:rsid w:val="00A76B18"/>
    <w:rsid w:val="00A773CC"/>
    <w:rsid w:val="00A77F6F"/>
    <w:rsid w:val="00A82E0A"/>
    <w:rsid w:val="00A831FD"/>
    <w:rsid w:val="00A83352"/>
    <w:rsid w:val="00A850A2"/>
    <w:rsid w:val="00A87979"/>
    <w:rsid w:val="00A91FA3"/>
    <w:rsid w:val="00A927D3"/>
    <w:rsid w:val="00A9429A"/>
    <w:rsid w:val="00AA3246"/>
    <w:rsid w:val="00AA70B0"/>
    <w:rsid w:val="00AA7FC9"/>
    <w:rsid w:val="00AB237D"/>
    <w:rsid w:val="00AB50E6"/>
    <w:rsid w:val="00AB5933"/>
    <w:rsid w:val="00AD026D"/>
    <w:rsid w:val="00AD34B3"/>
    <w:rsid w:val="00AD57CE"/>
    <w:rsid w:val="00AD5B44"/>
    <w:rsid w:val="00AD5CA6"/>
    <w:rsid w:val="00AD7608"/>
    <w:rsid w:val="00AE013D"/>
    <w:rsid w:val="00AE11B7"/>
    <w:rsid w:val="00AE18BA"/>
    <w:rsid w:val="00AE7130"/>
    <w:rsid w:val="00AE7F68"/>
    <w:rsid w:val="00AF2321"/>
    <w:rsid w:val="00AF52F6"/>
    <w:rsid w:val="00AF5B23"/>
    <w:rsid w:val="00AF7237"/>
    <w:rsid w:val="00B0043A"/>
    <w:rsid w:val="00B00D75"/>
    <w:rsid w:val="00B0690C"/>
    <w:rsid w:val="00B070CB"/>
    <w:rsid w:val="00B12456"/>
    <w:rsid w:val="00B132B0"/>
    <w:rsid w:val="00B173C6"/>
    <w:rsid w:val="00B21517"/>
    <w:rsid w:val="00B219A0"/>
    <w:rsid w:val="00B21CED"/>
    <w:rsid w:val="00B21FF9"/>
    <w:rsid w:val="00B220A5"/>
    <w:rsid w:val="00B2317A"/>
    <w:rsid w:val="00B259C8"/>
    <w:rsid w:val="00B26CCF"/>
    <w:rsid w:val="00B30FC2"/>
    <w:rsid w:val="00B31BA0"/>
    <w:rsid w:val="00B331A2"/>
    <w:rsid w:val="00B33CF2"/>
    <w:rsid w:val="00B350A2"/>
    <w:rsid w:val="00B364AE"/>
    <w:rsid w:val="00B425F0"/>
    <w:rsid w:val="00B42DFA"/>
    <w:rsid w:val="00B440E3"/>
    <w:rsid w:val="00B50571"/>
    <w:rsid w:val="00B525D0"/>
    <w:rsid w:val="00B531DD"/>
    <w:rsid w:val="00B55014"/>
    <w:rsid w:val="00B62232"/>
    <w:rsid w:val="00B626DD"/>
    <w:rsid w:val="00B70BF3"/>
    <w:rsid w:val="00B70D24"/>
    <w:rsid w:val="00B70E51"/>
    <w:rsid w:val="00B71DC2"/>
    <w:rsid w:val="00B75593"/>
    <w:rsid w:val="00B777C7"/>
    <w:rsid w:val="00B80DB6"/>
    <w:rsid w:val="00B81AD2"/>
    <w:rsid w:val="00B81AEC"/>
    <w:rsid w:val="00B85A66"/>
    <w:rsid w:val="00B85ED4"/>
    <w:rsid w:val="00B91CFC"/>
    <w:rsid w:val="00B921E6"/>
    <w:rsid w:val="00B93893"/>
    <w:rsid w:val="00BA6CA9"/>
    <w:rsid w:val="00BA7E0A"/>
    <w:rsid w:val="00BB61B0"/>
    <w:rsid w:val="00BB68C3"/>
    <w:rsid w:val="00BC0D9E"/>
    <w:rsid w:val="00BC28EC"/>
    <w:rsid w:val="00BC3B53"/>
    <w:rsid w:val="00BC3B96"/>
    <w:rsid w:val="00BC4AE3"/>
    <w:rsid w:val="00BC5B28"/>
    <w:rsid w:val="00BC7264"/>
    <w:rsid w:val="00BD33B8"/>
    <w:rsid w:val="00BD3A78"/>
    <w:rsid w:val="00BD6AD1"/>
    <w:rsid w:val="00BE17D4"/>
    <w:rsid w:val="00BE3F88"/>
    <w:rsid w:val="00BE4756"/>
    <w:rsid w:val="00BE5ED9"/>
    <w:rsid w:val="00BE7B41"/>
    <w:rsid w:val="00BF4427"/>
    <w:rsid w:val="00BF46B6"/>
    <w:rsid w:val="00BF5675"/>
    <w:rsid w:val="00C01F56"/>
    <w:rsid w:val="00C01F6A"/>
    <w:rsid w:val="00C044C4"/>
    <w:rsid w:val="00C15A91"/>
    <w:rsid w:val="00C206F1"/>
    <w:rsid w:val="00C2159D"/>
    <w:rsid w:val="00C217E1"/>
    <w:rsid w:val="00C219B1"/>
    <w:rsid w:val="00C231E2"/>
    <w:rsid w:val="00C2703D"/>
    <w:rsid w:val="00C352B6"/>
    <w:rsid w:val="00C4015B"/>
    <w:rsid w:val="00C4044E"/>
    <w:rsid w:val="00C40C60"/>
    <w:rsid w:val="00C44487"/>
    <w:rsid w:val="00C47F04"/>
    <w:rsid w:val="00C50E87"/>
    <w:rsid w:val="00C5258E"/>
    <w:rsid w:val="00C53BD7"/>
    <w:rsid w:val="00C55923"/>
    <w:rsid w:val="00C619A7"/>
    <w:rsid w:val="00C62905"/>
    <w:rsid w:val="00C638DE"/>
    <w:rsid w:val="00C64E34"/>
    <w:rsid w:val="00C6545E"/>
    <w:rsid w:val="00C65DE8"/>
    <w:rsid w:val="00C7097A"/>
    <w:rsid w:val="00C736E8"/>
    <w:rsid w:val="00C73D5F"/>
    <w:rsid w:val="00C81439"/>
    <w:rsid w:val="00C86C2B"/>
    <w:rsid w:val="00C965EF"/>
    <w:rsid w:val="00C97C80"/>
    <w:rsid w:val="00CA1D00"/>
    <w:rsid w:val="00CA47D3"/>
    <w:rsid w:val="00CA6533"/>
    <w:rsid w:val="00CA6A25"/>
    <w:rsid w:val="00CA6A3F"/>
    <w:rsid w:val="00CA7C99"/>
    <w:rsid w:val="00CB7E83"/>
    <w:rsid w:val="00CC0C64"/>
    <w:rsid w:val="00CC15DE"/>
    <w:rsid w:val="00CC6290"/>
    <w:rsid w:val="00CC72C1"/>
    <w:rsid w:val="00CD233D"/>
    <w:rsid w:val="00CD362D"/>
    <w:rsid w:val="00CE101D"/>
    <w:rsid w:val="00CE1C84"/>
    <w:rsid w:val="00CE5055"/>
    <w:rsid w:val="00CE6426"/>
    <w:rsid w:val="00CE7EA9"/>
    <w:rsid w:val="00CF001F"/>
    <w:rsid w:val="00CF053F"/>
    <w:rsid w:val="00CF1A17"/>
    <w:rsid w:val="00CF7303"/>
    <w:rsid w:val="00D0140D"/>
    <w:rsid w:val="00D01C92"/>
    <w:rsid w:val="00D01EBD"/>
    <w:rsid w:val="00D030AB"/>
    <w:rsid w:val="00D0609E"/>
    <w:rsid w:val="00D06178"/>
    <w:rsid w:val="00D06249"/>
    <w:rsid w:val="00D078E1"/>
    <w:rsid w:val="00D100E9"/>
    <w:rsid w:val="00D167F8"/>
    <w:rsid w:val="00D17084"/>
    <w:rsid w:val="00D1791D"/>
    <w:rsid w:val="00D21E4B"/>
    <w:rsid w:val="00D22588"/>
    <w:rsid w:val="00D22689"/>
    <w:rsid w:val="00D23522"/>
    <w:rsid w:val="00D264D6"/>
    <w:rsid w:val="00D30D75"/>
    <w:rsid w:val="00D33144"/>
    <w:rsid w:val="00D33BF0"/>
    <w:rsid w:val="00D33F30"/>
    <w:rsid w:val="00D34892"/>
    <w:rsid w:val="00D36447"/>
    <w:rsid w:val="00D41CE8"/>
    <w:rsid w:val="00D44B73"/>
    <w:rsid w:val="00D516BE"/>
    <w:rsid w:val="00D5423B"/>
    <w:rsid w:val="00D54F4E"/>
    <w:rsid w:val="00D604B3"/>
    <w:rsid w:val="00D60BA4"/>
    <w:rsid w:val="00D62419"/>
    <w:rsid w:val="00D62AD8"/>
    <w:rsid w:val="00D6442F"/>
    <w:rsid w:val="00D65336"/>
    <w:rsid w:val="00D65858"/>
    <w:rsid w:val="00D66074"/>
    <w:rsid w:val="00D72416"/>
    <w:rsid w:val="00D73273"/>
    <w:rsid w:val="00D74E2F"/>
    <w:rsid w:val="00D75B3F"/>
    <w:rsid w:val="00D77870"/>
    <w:rsid w:val="00D80977"/>
    <w:rsid w:val="00D80CCE"/>
    <w:rsid w:val="00D849AF"/>
    <w:rsid w:val="00D86EEA"/>
    <w:rsid w:val="00D87D03"/>
    <w:rsid w:val="00D93170"/>
    <w:rsid w:val="00D95C88"/>
    <w:rsid w:val="00D97B2E"/>
    <w:rsid w:val="00DA1BA1"/>
    <w:rsid w:val="00DA241E"/>
    <w:rsid w:val="00DA51B5"/>
    <w:rsid w:val="00DB36FE"/>
    <w:rsid w:val="00DB38E3"/>
    <w:rsid w:val="00DB533A"/>
    <w:rsid w:val="00DB6307"/>
    <w:rsid w:val="00DC18F3"/>
    <w:rsid w:val="00DC2443"/>
    <w:rsid w:val="00DD1DCD"/>
    <w:rsid w:val="00DD338F"/>
    <w:rsid w:val="00DD3404"/>
    <w:rsid w:val="00DD66F2"/>
    <w:rsid w:val="00DE1EB5"/>
    <w:rsid w:val="00DE3FE0"/>
    <w:rsid w:val="00DE578A"/>
    <w:rsid w:val="00DE5A06"/>
    <w:rsid w:val="00DF15DA"/>
    <w:rsid w:val="00DF2583"/>
    <w:rsid w:val="00DF3E62"/>
    <w:rsid w:val="00DF4D7F"/>
    <w:rsid w:val="00DF4E80"/>
    <w:rsid w:val="00DF54D9"/>
    <w:rsid w:val="00DF7283"/>
    <w:rsid w:val="00E01A59"/>
    <w:rsid w:val="00E0326F"/>
    <w:rsid w:val="00E0622C"/>
    <w:rsid w:val="00E0675E"/>
    <w:rsid w:val="00E10DC6"/>
    <w:rsid w:val="00E11F8E"/>
    <w:rsid w:val="00E13D95"/>
    <w:rsid w:val="00E1418E"/>
    <w:rsid w:val="00E14AA3"/>
    <w:rsid w:val="00E15881"/>
    <w:rsid w:val="00E16A8F"/>
    <w:rsid w:val="00E16D2B"/>
    <w:rsid w:val="00E17CA2"/>
    <w:rsid w:val="00E20C25"/>
    <w:rsid w:val="00E21DE3"/>
    <w:rsid w:val="00E233D5"/>
    <w:rsid w:val="00E27A79"/>
    <w:rsid w:val="00E307D1"/>
    <w:rsid w:val="00E30D65"/>
    <w:rsid w:val="00E35710"/>
    <w:rsid w:val="00E35CF4"/>
    <w:rsid w:val="00E3731D"/>
    <w:rsid w:val="00E37811"/>
    <w:rsid w:val="00E43294"/>
    <w:rsid w:val="00E43CA5"/>
    <w:rsid w:val="00E46751"/>
    <w:rsid w:val="00E51469"/>
    <w:rsid w:val="00E54114"/>
    <w:rsid w:val="00E620A2"/>
    <w:rsid w:val="00E62709"/>
    <w:rsid w:val="00E634E3"/>
    <w:rsid w:val="00E717C4"/>
    <w:rsid w:val="00E74D10"/>
    <w:rsid w:val="00E776C6"/>
    <w:rsid w:val="00E77F89"/>
    <w:rsid w:val="00E80E71"/>
    <w:rsid w:val="00E81589"/>
    <w:rsid w:val="00E82765"/>
    <w:rsid w:val="00E847A1"/>
    <w:rsid w:val="00E850D3"/>
    <w:rsid w:val="00E853D6"/>
    <w:rsid w:val="00E8544F"/>
    <w:rsid w:val="00E876B9"/>
    <w:rsid w:val="00E91833"/>
    <w:rsid w:val="00E91B40"/>
    <w:rsid w:val="00E94D82"/>
    <w:rsid w:val="00EA5BA2"/>
    <w:rsid w:val="00EA76A3"/>
    <w:rsid w:val="00EB73E0"/>
    <w:rsid w:val="00EC0DFF"/>
    <w:rsid w:val="00EC237D"/>
    <w:rsid w:val="00EC25AB"/>
    <w:rsid w:val="00EC25B9"/>
    <w:rsid w:val="00EC2927"/>
    <w:rsid w:val="00EC2BD7"/>
    <w:rsid w:val="00EC4D0E"/>
    <w:rsid w:val="00EC4E2B"/>
    <w:rsid w:val="00ED072A"/>
    <w:rsid w:val="00ED2F32"/>
    <w:rsid w:val="00ED305B"/>
    <w:rsid w:val="00ED539E"/>
    <w:rsid w:val="00ED576F"/>
    <w:rsid w:val="00ED5E4D"/>
    <w:rsid w:val="00EE04F6"/>
    <w:rsid w:val="00EE4A1F"/>
    <w:rsid w:val="00EE4C2D"/>
    <w:rsid w:val="00EF0CCB"/>
    <w:rsid w:val="00EF1B5A"/>
    <w:rsid w:val="00EF24FB"/>
    <w:rsid w:val="00EF2CCA"/>
    <w:rsid w:val="00EF4D48"/>
    <w:rsid w:val="00EF60DC"/>
    <w:rsid w:val="00F00CCE"/>
    <w:rsid w:val="00F00F54"/>
    <w:rsid w:val="00F03963"/>
    <w:rsid w:val="00F05507"/>
    <w:rsid w:val="00F0733A"/>
    <w:rsid w:val="00F11068"/>
    <w:rsid w:val="00F115FD"/>
    <w:rsid w:val="00F1256D"/>
    <w:rsid w:val="00F13A4E"/>
    <w:rsid w:val="00F1454F"/>
    <w:rsid w:val="00F154BD"/>
    <w:rsid w:val="00F172BB"/>
    <w:rsid w:val="00F17B10"/>
    <w:rsid w:val="00F17BFE"/>
    <w:rsid w:val="00F20147"/>
    <w:rsid w:val="00F21BEF"/>
    <w:rsid w:val="00F2315B"/>
    <w:rsid w:val="00F25603"/>
    <w:rsid w:val="00F31111"/>
    <w:rsid w:val="00F40F11"/>
    <w:rsid w:val="00F41A6F"/>
    <w:rsid w:val="00F45A25"/>
    <w:rsid w:val="00F47646"/>
    <w:rsid w:val="00F50F86"/>
    <w:rsid w:val="00F53862"/>
    <w:rsid w:val="00F53F91"/>
    <w:rsid w:val="00F54B9F"/>
    <w:rsid w:val="00F61569"/>
    <w:rsid w:val="00F61A72"/>
    <w:rsid w:val="00F62B67"/>
    <w:rsid w:val="00F66312"/>
    <w:rsid w:val="00F66F13"/>
    <w:rsid w:val="00F7145D"/>
    <w:rsid w:val="00F71B5E"/>
    <w:rsid w:val="00F729C0"/>
    <w:rsid w:val="00F74073"/>
    <w:rsid w:val="00F75603"/>
    <w:rsid w:val="00F77BE5"/>
    <w:rsid w:val="00F77F37"/>
    <w:rsid w:val="00F83147"/>
    <w:rsid w:val="00F8458D"/>
    <w:rsid w:val="00F845B4"/>
    <w:rsid w:val="00F8713B"/>
    <w:rsid w:val="00F904FB"/>
    <w:rsid w:val="00F93F9E"/>
    <w:rsid w:val="00F950BC"/>
    <w:rsid w:val="00FA2CD7"/>
    <w:rsid w:val="00FA5AD5"/>
    <w:rsid w:val="00FB06ED"/>
    <w:rsid w:val="00FB1EF5"/>
    <w:rsid w:val="00FB3008"/>
    <w:rsid w:val="00FC08A4"/>
    <w:rsid w:val="00FC202F"/>
    <w:rsid w:val="00FC3165"/>
    <w:rsid w:val="00FC36AB"/>
    <w:rsid w:val="00FC4300"/>
    <w:rsid w:val="00FC7F66"/>
    <w:rsid w:val="00FD5776"/>
    <w:rsid w:val="00FD656E"/>
    <w:rsid w:val="00FE1CB6"/>
    <w:rsid w:val="00FE486B"/>
    <w:rsid w:val="00FE4F08"/>
    <w:rsid w:val="00FE7DAA"/>
    <w:rsid w:val="00FF192E"/>
    <w:rsid w:val="00FF3C8D"/>
    <w:rsid w:val="00FF7D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5FD35FBB-9310-4037-A871-B09A8DFA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link w:val="Huisstijl-KopjeChar"/>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uiPriority w:val="99"/>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link w:val="Lijstalinea"/>
    <w:uiPriority w:val="34"/>
    <w:locked/>
    <w:rsid w:val="009B0E79"/>
    <w:rPr>
      <w:rFonts w:ascii="Verdana" w:hAnsi="Verdana"/>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9B0E79"/>
    <w:pPr>
      <w:ind w:left="720"/>
      <w:contextualSpacing/>
    </w:pPr>
    <w:rPr>
      <w:sz w:val="20"/>
      <w:szCs w:val="20"/>
    </w:rPr>
  </w:style>
  <w:style w:type="paragraph" w:styleId="Voetnoottekst">
    <w:name w:val="footnote text"/>
    <w:basedOn w:val="Standaard"/>
    <w:link w:val="VoetnoottekstChar"/>
    <w:rsid w:val="009B0E79"/>
    <w:rPr>
      <w:sz w:val="20"/>
      <w:szCs w:val="20"/>
    </w:rPr>
  </w:style>
  <w:style w:type="character" w:customStyle="1" w:styleId="VoetnoottekstChar">
    <w:name w:val="Voetnoottekst Char"/>
    <w:basedOn w:val="Standaardalinea-lettertype"/>
    <w:link w:val="Voetnoottekst"/>
    <w:rsid w:val="009B0E79"/>
    <w:rPr>
      <w:rFonts w:ascii="Verdana" w:hAnsi="Verdana"/>
    </w:rPr>
  </w:style>
  <w:style w:type="character" w:styleId="Voetnootmarkering">
    <w:name w:val="footnote reference"/>
    <w:basedOn w:val="Standaardalinea-lettertype"/>
    <w:rsid w:val="009B0E79"/>
    <w:rPr>
      <w:vertAlign w:val="superscript"/>
    </w:rPr>
  </w:style>
  <w:style w:type="character" w:styleId="Verwijzingopmerking">
    <w:name w:val="annotation reference"/>
    <w:basedOn w:val="Standaardalinea-lettertype"/>
    <w:rsid w:val="0098397A"/>
    <w:rPr>
      <w:sz w:val="16"/>
      <w:szCs w:val="16"/>
    </w:rPr>
  </w:style>
  <w:style w:type="paragraph" w:styleId="Tekstopmerking">
    <w:name w:val="annotation text"/>
    <w:basedOn w:val="Standaard"/>
    <w:link w:val="TekstopmerkingChar"/>
    <w:rsid w:val="0098397A"/>
    <w:pPr>
      <w:spacing w:line="240" w:lineRule="auto"/>
    </w:pPr>
    <w:rPr>
      <w:sz w:val="20"/>
      <w:szCs w:val="20"/>
    </w:rPr>
  </w:style>
  <w:style w:type="character" w:customStyle="1" w:styleId="TekstopmerkingChar">
    <w:name w:val="Tekst opmerking Char"/>
    <w:basedOn w:val="Standaardalinea-lettertype"/>
    <w:link w:val="Tekstopmerking"/>
    <w:rsid w:val="0098397A"/>
    <w:rPr>
      <w:rFonts w:ascii="Verdana" w:hAnsi="Verdana"/>
    </w:rPr>
  </w:style>
  <w:style w:type="paragraph" w:styleId="Onderwerpvanopmerking">
    <w:name w:val="annotation subject"/>
    <w:basedOn w:val="Tekstopmerking"/>
    <w:next w:val="Tekstopmerking"/>
    <w:link w:val="OnderwerpvanopmerkingChar"/>
    <w:rsid w:val="0098397A"/>
    <w:rPr>
      <w:b/>
      <w:bCs/>
    </w:rPr>
  </w:style>
  <w:style w:type="character" w:customStyle="1" w:styleId="OnderwerpvanopmerkingChar">
    <w:name w:val="Onderwerp van opmerking Char"/>
    <w:basedOn w:val="TekstopmerkingChar"/>
    <w:link w:val="Onderwerpvanopmerking"/>
    <w:rsid w:val="0098397A"/>
    <w:rPr>
      <w:rFonts w:ascii="Verdana" w:hAnsi="Verdana"/>
      <w:b/>
      <w:bCs/>
    </w:rPr>
  </w:style>
  <w:style w:type="paragraph" w:customStyle="1" w:styleId="Default">
    <w:name w:val="Default"/>
    <w:rsid w:val="0098397A"/>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6239">
      <w:bodyDiv w:val="1"/>
      <w:marLeft w:val="0"/>
      <w:marRight w:val="0"/>
      <w:marTop w:val="0"/>
      <w:marBottom w:val="0"/>
      <w:divBdr>
        <w:top w:val="none" w:sz="0" w:space="0" w:color="auto"/>
        <w:left w:val="none" w:sz="0" w:space="0" w:color="auto"/>
        <w:bottom w:val="none" w:sz="0" w:space="0" w:color="auto"/>
        <w:right w:val="none" w:sz="0" w:space="0" w:color="auto"/>
      </w:divBdr>
    </w:div>
    <w:div w:id="421029394">
      <w:bodyDiv w:val="1"/>
      <w:marLeft w:val="0"/>
      <w:marRight w:val="0"/>
      <w:marTop w:val="0"/>
      <w:marBottom w:val="0"/>
      <w:divBdr>
        <w:top w:val="none" w:sz="0" w:space="0" w:color="auto"/>
        <w:left w:val="none" w:sz="0" w:space="0" w:color="auto"/>
        <w:bottom w:val="none" w:sz="0" w:space="0" w:color="auto"/>
        <w:right w:val="none" w:sz="0" w:space="0" w:color="auto"/>
      </w:divBdr>
    </w:div>
    <w:div w:id="472136993">
      <w:bodyDiv w:val="1"/>
      <w:marLeft w:val="0"/>
      <w:marRight w:val="0"/>
      <w:marTop w:val="0"/>
      <w:marBottom w:val="0"/>
      <w:divBdr>
        <w:top w:val="none" w:sz="0" w:space="0" w:color="auto"/>
        <w:left w:val="none" w:sz="0" w:space="0" w:color="auto"/>
        <w:bottom w:val="none" w:sz="0" w:space="0" w:color="auto"/>
        <w:right w:val="none" w:sz="0" w:space="0" w:color="auto"/>
      </w:divBdr>
    </w:div>
    <w:div w:id="563418512">
      <w:bodyDiv w:val="1"/>
      <w:marLeft w:val="0"/>
      <w:marRight w:val="0"/>
      <w:marTop w:val="0"/>
      <w:marBottom w:val="0"/>
      <w:divBdr>
        <w:top w:val="none" w:sz="0" w:space="0" w:color="auto"/>
        <w:left w:val="none" w:sz="0" w:space="0" w:color="auto"/>
        <w:bottom w:val="none" w:sz="0" w:space="0" w:color="auto"/>
        <w:right w:val="none" w:sz="0" w:space="0" w:color="auto"/>
      </w:divBdr>
    </w:div>
    <w:div w:id="790635159">
      <w:bodyDiv w:val="1"/>
      <w:marLeft w:val="0"/>
      <w:marRight w:val="0"/>
      <w:marTop w:val="0"/>
      <w:marBottom w:val="0"/>
      <w:divBdr>
        <w:top w:val="none" w:sz="0" w:space="0" w:color="auto"/>
        <w:left w:val="none" w:sz="0" w:space="0" w:color="auto"/>
        <w:bottom w:val="none" w:sz="0" w:space="0" w:color="auto"/>
        <w:right w:val="none" w:sz="0" w:space="0" w:color="auto"/>
      </w:divBdr>
    </w:div>
    <w:div w:id="931626098">
      <w:bodyDiv w:val="1"/>
      <w:marLeft w:val="0"/>
      <w:marRight w:val="0"/>
      <w:marTop w:val="0"/>
      <w:marBottom w:val="0"/>
      <w:divBdr>
        <w:top w:val="none" w:sz="0" w:space="0" w:color="auto"/>
        <w:left w:val="none" w:sz="0" w:space="0" w:color="auto"/>
        <w:bottom w:val="none" w:sz="0" w:space="0" w:color="auto"/>
        <w:right w:val="none" w:sz="0" w:space="0" w:color="auto"/>
      </w:divBdr>
    </w:div>
    <w:div w:id="1067609888">
      <w:bodyDiv w:val="1"/>
      <w:marLeft w:val="0"/>
      <w:marRight w:val="0"/>
      <w:marTop w:val="0"/>
      <w:marBottom w:val="0"/>
      <w:divBdr>
        <w:top w:val="none" w:sz="0" w:space="0" w:color="auto"/>
        <w:left w:val="none" w:sz="0" w:space="0" w:color="auto"/>
        <w:bottom w:val="none" w:sz="0" w:space="0" w:color="auto"/>
        <w:right w:val="none" w:sz="0" w:space="0" w:color="auto"/>
      </w:divBdr>
    </w:div>
    <w:div w:id="1141074487">
      <w:bodyDiv w:val="1"/>
      <w:marLeft w:val="0"/>
      <w:marRight w:val="0"/>
      <w:marTop w:val="0"/>
      <w:marBottom w:val="0"/>
      <w:divBdr>
        <w:top w:val="none" w:sz="0" w:space="0" w:color="auto"/>
        <w:left w:val="none" w:sz="0" w:space="0" w:color="auto"/>
        <w:bottom w:val="none" w:sz="0" w:space="0" w:color="auto"/>
        <w:right w:val="none" w:sz="0" w:space="0" w:color="auto"/>
      </w:divBdr>
    </w:div>
    <w:div w:id="1262182785">
      <w:bodyDiv w:val="1"/>
      <w:marLeft w:val="0"/>
      <w:marRight w:val="0"/>
      <w:marTop w:val="0"/>
      <w:marBottom w:val="0"/>
      <w:divBdr>
        <w:top w:val="none" w:sz="0" w:space="0" w:color="auto"/>
        <w:left w:val="none" w:sz="0" w:space="0" w:color="auto"/>
        <w:bottom w:val="none" w:sz="0" w:space="0" w:color="auto"/>
        <w:right w:val="none" w:sz="0" w:space="0" w:color="auto"/>
      </w:divBdr>
    </w:div>
    <w:div w:id="1632709252">
      <w:bodyDiv w:val="1"/>
      <w:marLeft w:val="0"/>
      <w:marRight w:val="0"/>
      <w:marTop w:val="0"/>
      <w:marBottom w:val="0"/>
      <w:divBdr>
        <w:top w:val="none" w:sz="0" w:space="0" w:color="auto"/>
        <w:left w:val="none" w:sz="0" w:space="0" w:color="auto"/>
        <w:bottom w:val="none" w:sz="0" w:space="0" w:color="auto"/>
        <w:right w:val="none" w:sz="0" w:space="0" w:color="auto"/>
      </w:divBdr>
    </w:div>
    <w:div w:id="1714573875">
      <w:bodyDiv w:val="1"/>
      <w:marLeft w:val="0"/>
      <w:marRight w:val="0"/>
      <w:marTop w:val="0"/>
      <w:marBottom w:val="0"/>
      <w:divBdr>
        <w:top w:val="none" w:sz="0" w:space="0" w:color="auto"/>
        <w:left w:val="none" w:sz="0" w:space="0" w:color="auto"/>
        <w:bottom w:val="none" w:sz="0" w:space="0" w:color="auto"/>
        <w:right w:val="none" w:sz="0" w:space="0" w:color="auto"/>
      </w:divBdr>
    </w:div>
    <w:div w:id="1811744825">
      <w:bodyDiv w:val="1"/>
      <w:marLeft w:val="0"/>
      <w:marRight w:val="0"/>
      <w:marTop w:val="0"/>
      <w:marBottom w:val="0"/>
      <w:divBdr>
        <w:top w:val="none" w:sz="0" w:space="0" w:color="auto"/>
        <w:left w:val="none" w:sz="0" w:space="0" w:color="auto"/>
        <w:bottom w:val="none" w:sz="0" w:space="0" w:color="auto"/>
        <w:right w:val="none" w:sz="0" w:space="0" w:color="auto"/>
      </w:divBdr>
    </w:div>
    <w:div w:id="1829705953">
      <w:bodyDiv w:val="1"/>
      <w:marLeft w:val="0"/>
      <w:marRight w:val="0"/>
      <w:marTop w:val="0"/>
      <w:marBottom w:val="0"/>
      <w:divBdr>
        <w:top w:val="none" w:sz="0" w:space="0" w:color="auto"/>
        <w:left w:val="none" w:sz="0" w:space="0" w:color="auto"/>
        <w:bottom w:val="none" w:sz="0" w:space="0" w:color="auto"/>
        <w:right w:val="none" w:sz="0" w:space="0" w:color="auto"/>
      </w:divBdr>
    </w:div>
    <w:div w:id="2027175418">
      <w:bodyDiv w:val="1"/>
      <w:marLeft w:val="0"/>
      <w:marRight w:val="0"/>
      <w:marTop w:val="0"/>
      <w:marBottom w:val="0"/>
      <w:divBdr>
        <w:top w:val="none" w:sz="0" w:space="0" w:color="auto"/>
        <w:left w:val="none" w:sz="0" w:space="0" w:color="auto"/>
        <w:bottom w:val="none" w:sz="0" w:space="0" w:color="auto"/>
        <w:right w:val="none" w:sz="0" w:space="0" w:color="auto"/>
      </w:divBdr>
    </w:div>
    <w:div w:id="2110855287">
      <w:bodyDiv w:val="1"/>
      <w:marLeft w:val="0"/>
      <w:marRight w:val="0"/>
      <w:marTop w:val="0"/>
      <w:marBottom w:val="0"/>
      <w:divBdr>
        <w:top w:val="none" w:sz="0" w:space="0" w:color="auto"/>
        <w:left w:val="none" w:sz="0" w:space="0" w:color="auto"/>
        <w:bottom w:val="none" w:sz="0" w:space="0" w:color="auto"/>
        <w:right w:val="none" w:sz="0" w:space="0" w:color="auto"/>
      </w:divBdr>
    </w:div>
    <w:div w:id="214453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ocw.local\bd_ocw\Directies\PO\k-schijf\Nieuwe%20achterstandsregeling\Overig\De%20Brief\20180416_Tabel%20varianten%20(voor%20kamerbrief)_Nieuw.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ocw.local\bd_ocw\Directies\PO\k-schijf\Nieuwe%20achterstandsregeling\Overig\De%20Brief\20180228_Tabel%20varianten%20(voor%20kamerbrief)_Nieuw.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'Figuren brief 2'!$B$3</c:f>
              <c:strCache>
                <c:ptCount val="1"/>
                <c:pt idx="0">
                  <c:v>budget 2018</c:v>
                </c:pt>
              </c:strCache>
            </c:strRef>
          </c:tx>
          <c:invertIfNegative val="0"/>
          <c:cat>
            <c:strRef>
              <c:f>'Figuren brief 2'!$A$4:$A$7</c:f>
              <c:strCache>
                <c:ptCount val="4"/>
                <c:pt idx="0">
                  <c:v>G4</c:v>
                </c:pt>
                <c:pt idx="1">
                  <c:v>G33</c:v>
                </c:pt>
                <c:pt idx="2">
                  <c:v>G86</c:v>
                </c:pt>
                <c:pt idx="3">
                  <c:v>Overig</c:v>
                </c:pt>
              </c:strCache>
            </c:strRef>
          </c:cat>
          <c:val>
            <c:numRef>
              <c:f>'Figuren brief 2'!$B$4:$B$7</c:f>
              <c:numCache>
                <c:formatCode>"€"\ #,##0</c:formatCode>
                <c:ptCount val="4"/>
                <c:pt idx="0">
                  <c:v>170.113</c:v>
                </c:pt>
                <c:pt idx="1">
                  <c:v>114.41</c:v>
                </c:pt>
                <c:pt idx="2">
                  <c:v>57.854999999999997</c:v>
                </c:pt>
                <c:pt idx="3">
                  <c:v>24.071999999999999</c:v>
                </c:pt>
              </c:numCache>
            </c:numRef>
          </c:val>
          <c:extLst>
            <c:ext xmlns:c16="http://schemas.microsoft.com/office/drawing/2014/chart" uri="{C3380CC4-5D6E-409C-BE32-E72D297353CC}">
              <c16:uniqueId val="{00000000-9BFE-4B34-8EDD-212BCBCF62EC}"/>
            </c:ext>
          </c:extLst>
        </c:ser>
        <c:ser>
          <c:idx val="1"/>
          <c:order val="1"/>
          <c:tx>
            <c:strRef>
              <c:f>'Figuren brief 2'!$C$3</c:f>
              <c:strCache>
                <c:ptCount val="1"/>
                <c:pt idx="0">
                  <c:v>Nieuw budget (structureel)</c:v>
                </c:pt>
              </c:strCache>
            </c:strRef>
          </c:tx>
          <c:invertIfNegative val="0"/>
          <c:cat>
            <c:strRef>
              <c:f>'Figuren brief 2'!$A$4:$A$7</c:f>
              <c:strCache>
                <c:ptCount val="4"/>
                <c:pt idx="0">
                  <c:v>G4</c:v>
                </c:pt>
                <c:pt idx="1">
                  <c:v>G33</c:v>
                </c:pt>
                <c:pt idx="2">
                  <c:v>G86</c:v>
                </c:pt>
                <c:pt idx="3">
                  <c:v>Overig</c:v>
                </c:pt>
              </c:strCache>
            </c:strRef>
          </c:cat>
          <c:val>
            <c:numRef>
              <c:f>'Figuren brief 2'!$C$4:$C$7</c:f>
              <c:numCache>
                <c:formatCode>"€"\ #,##0</c:formatCode>
                <c:ptCount val="4"/>
                <c:pt idx="0">
                  <c:v>160.786</c:v>
                </c:pt>
                <c:pt idx="1">
                  <c:v>150.298</c:v>
                </c:pt>
                <c:pt idx="2">
                  <c:v>114.54</c:v>
                </c:pt>
                <c:pt idx="3">
                  <c:v>60.826000000000001</c:v>
                </c:pt>
              </c:numCache>
            </c:numRef>
          </c:val>
          <c:extLst>
            <c:ext xmlns:c16="http://schemas.microsoft.com/office/drawing/2014/chart" uri="{C3380CC4-5D6E-409C-BE32-E72D297353CC}">
              <c16:uniqueId val="{00000001-9BFE-4B34-8EDD-212BCBCF62EC}"/>
            </c:ext>
          </c:extLst>
        </c:ser>
        <c:dLbls>
          <c:showLegendKey val="0"/>
          <c:showVal val="0"/>
          <c:showCatName val="0"/>
          <c:showSerName val="0"/>
          <c:showPercent val="0"/>
          <c:showBubbleSize val="0"/>
        </c:dLbls>
        <c:gapWidth val="150"/>
        <c:axId val="174647936"/>
        <c:axId val="205932416"/>
      </c:barChart>
      <c:catAx>
        <c:axId val="174647936"/>
        <c:scaling>
          <c:orientation val="minMax"/>
        </c:scaling>
        <c:delete val="0"/>
        <c:axPos val="b"/>
        <c:numFmt formatCode="General" sourceLinked="0"/>
        <c:majorTickMark val="out"/>
        <c:minorTickMark val="none"/>
        <c:tickLblPos val="nextTo"/>
        <c:crossAx val="205932416"/>
        <c:crosses val="autoZero"/>
        <c:auto val="1"/>
        <c:lblAlgn val="ctr"/>
        <c:lblOffset val="100"/>
        <c:noMultiLvlLbl val="0"/>
      </c:catAx>
      <c:valAx>
        <c:axId val="205932416"/>
        <c:scaling>
          <c:orientation val="minMax"/>
        </c:scaling>
        <c:delete val="0"/>
        <c:axPos val="l"/>
        <c:majorGridlines/>
        <c:numFmt formatCode="&quot;€&quot;\ #,##0" sourceLinked="1"/>
        <c:majorTickMark val="out"/>
        <c:minorTickMark val="none"/>
        <c:tickLblPos val="nextTo"/>
        <c:crossAx val="17464793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034075384205484"/>
          <c:y val="5.1850636981556147E-2"/>
          <c:w val="0.61749199276656297"/>
          <c:h val="0.72649507903984278"/>
        </c:manualLayout>
      </c:layout>
      <c:barChart>
        <c:barDir val="col"/>
        <c:grouping val="clustered"/>
        <c:varyColors val="0"/>
        <c:ser>
          <c:idx val="0"/>
          <c:order val="0"/>
          <c:tx>
            <c:strRef>
              <c:f>'Figuren brief 2'!$P$3</c:f>
              <c:strCache>
                <c:ptCount val="1"/>
                <c:pt idx="0">
                  <c:v>Oud budget o.b.v. 17-18</c:v>
                </c:pt>
              </c:strCache>
            </c:strRef>
          </c:tx>
          <c:invertIfNegative val="0"/>
          <c:cat>
            <c:strRef>
              <c:f>'Figuren brief 2'!$O$4:$O$9</c:f>
              <c:strCache>
                <c:ptCount val="6"/>
                <c:pt idx="0">
                  <c:v>0%</c:v>
                </c:pt>
                <c:pt idx="1">
                  <c:v>0% tot 1%</c:v>
                </c:pt>
                <c:pt idx="2">
                  <c:v>1% tot 2,5%</c:v>
                </c:pt>
                <c:pt idx="3">
                  <c:v>2,5 tot 5%</c:v>
                </c:pt>
                <c:pt idx="4">
                  <c:v>5 tot 10%</c:v>
                </c:pt>
                <c:pt idx="5">
                  <c:v>meer dan 10%</c:v>
                </c:pt>
              </c:strCache>
            </c:strRef>
          </c:cat>
          <c:val>
            <c:numRef>
              <c:f>'Figuren brief 2'!$P$4:$P$9</c:f>
              <c:numCache>
                <c:formatCode>"€"\ #,##0</c:formatCode>
                <c:ptCount val="6"/>
                <c:pt idx="0">
                  <c:v>0</c:v>
                </c:pt>
                <c:pt idx="1">
                  <c:v>7.4102236113999984</c:v>
                </c:pt>
                <c:pt idx="2">
                  <c:v>23.053971250599997</c:v>
                </c:pt>
                <c:pt idx="3">
                  <c:v>50.877336414699997</c:v>
                </c:pt>
                <c:pt idx="4">
                  <c:v>91.91698897389999</c:v>
                </c:pt>
                <c:pt idx="5">
                  <c:v>103.93621330720002</c:v>
                </c:pt>
              </c:numCache>
            </c:numRef>
          </c:val>
          <c:extLst>
            <c:ext xmlns:c16="http://schemas.microsoft.com/office/drawing/2014/chart" uri="{C3380CC4-5D6E-409C-BE32-E72D297353CC}">
              <c16:uniqueId val="{00000000-1282-4A8C-A754-09FBB15A4FF8}"/>
            </c:ext>
          </c:extLst>
        </c:ser>
        <c:ser>
          <c:idx val="1"/>
          <c:order val="1"/>
          <c:tx>
            <c:strRef>
              <c:f>'Figuren brief 2'!$Q$3</c:f>
              <c:strCache>
                <c:ptCount val="1"/>
                <c:pt idx="0">
                  <c:v>Nieuw budget o.b.v. 17-18</c:v>
                </c:pt>
              </c:strCache>
            </c:strRef>
          </c:tx>
          <c:invertIfNegative val="0"/>
          <c:cat>
            <c:strRef>
              <c:f>'Figuren brief 2'!$O$4:$O$9</c:f>
              <c:strCache>
                <c:ptCount val="6"/>
                <c:pt idx="0">
                  <c:v>0%</c:v>
                </c:pt>
                <c:pt idx="1">
                  <c:v>0% tot 1%</c:v>
                </c:pt>
                <c:pt idx="2">
                  <c:v>1% tot 2,5%</c:v>
                </c:pt>
                <c:pt idx="3">
                  <c:v>2,5 tot 5%</c:v>
                </c:pt>
                <c:pt idx="4">
                  <c:v>5 tot 10%</c:v>
                </c:pt>
                <c:pt idx="5">
                  <c:v>meer dan 10%</c:v>
                </c:pt>
              </c:strCache>
            </c:strRef>
          </c:cat>
          <c:val>
            <c:numRef>
              <c:f>'Figuren brief 2'!$Q$4:$Q$9</c:f>
              <c:numCache>
                <c:formatCode>"€"\ #,##0</c:formatCode>
                <c:ptCount val="6"/>
                <c:pt idx="0">
                  <c:v>1.7925695795103977</c:v>
                </c:pt>
                <c:pt idx="1">
                  <c:v>10.806462765667366</c:v>
                </c:pt>
                <c:pt idx="2">
                  <c:v>25.278734430946521</c:v>
                </c:pt>
                <c:pt idx="3">
                  <c:v>55.459254897528538</c:v>
                </c:pt>
                <c:pt idx="4">
                  <c:v>85.549063001075908</c:v>
                </c:pt>
                <c:pt idx="5">
                  <c:v>98.308648883070546</c:v>
                </c:pt>
              </c:numCache>
            </c:numRef>
          </c:val>
          <c:extLst>
            <c:ext xmlns:c16="http://schemas.microsoft.com/office/drawing/2014/chart" uri="{C3380CC4-5D6E-409C-BE32-E72D297353CC}">
              <c16:uniqueId val="{00000001-1282-4A8C-A754-09FBB15A4FF8}"/>
            </c:ext>
          </c:extLst>
        </c:ser>
        <c:dLbls>
          <c:showLegendKey val="0"/>
          <c:showVal val="0"/>
          <c:showCatName val="0"/>
          <c:showSerName val="0"/>
          <c:showPercent val="0"/>
          <c:showBubbleSize val="0"/>
        </c:dLbls>
        <c:gapWidth val="150"/>
        <c:axId val="218059520"/>
        <c:axId val="218064000"/>
      </c:barChart>
      <c:catAx>
        <c:axId val="218059520"/>
        <c:scaling>
          <c:orientation val="minMax"/>
        </c:scaling>
        <c:delete val="0"/>
        <c:axPos val="b"/>
        <c:numFmt formatCode="General" sourceLinked="0"/>
        <c:majorTickMark val="out"/>
        <c:minorTickMark val="none"/>
        <c:tickLblPos val="nextTo"/>
        <c:crossAx val="218064000"/>
        <c:crosses val="autoZero"/>
        <c:auto val="1"/>
        <c:lblAlgn val="ctr"/>
        <c:lblOffset val="100"/>
        <c:noMultiLvlLbl val="0"/>
      </c:catAx>
      <c:valAx>
        <c:axId val="218064000"/>
        <c:scaling>
          <c:orientation val="minMax"/>
        </c:scaling>
        <c:delete val="0"/>
        <c:axPos val="l"/>
        <c:majorGridlines/>
        <c:numFmt formatCode="&quot;€&quot;\ #,##0" sourceLinked="1"/>
        <c:majorTickMark val="out"/>
        <c:minorTickMark val="none"/>
        <c:tickLblPos val="nextTo"/>
        <c:crossAx val="218059520"/>
        <c:crosses val="autoZero"/>
        <c:crossBetween val="between"/>
      </c:valAx>
    </c:plotArea>
    <c:legend>
      <c:legendPos val="r"/>
      <c:layout>
        <c:manualLayout>
          <c:xMode val="edge"/>
          <c:yMode val="edge"/>
          <c:x val="0.75452254213363734"/>
          <c:y val="0.36034339457567804"/>
          <c:w val="0.20286865869628068"/>
          <c:h val="0.38648401772751811"/>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EF302975DB2478F9B4E614F68BD37" ma:contentTypeVersion="0" ma:contentTypeDescription="Een nieuw document maken." ma:contentTypeScope="" ma:versionID="a3e0c6c3f9e694c46a1ac10a1cdd9ad6">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4ED37-2502-454C-903B-AD5D1F69F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36289A8-E471-4860-8361-23011F45A6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34630B-2F39-4FC4-A2C4-0DA3F408DFE6}">
  <ds:schemaRefs>
    <ds:schemaRef ds:uri="http://schemas.microsoft.com/sharepoint/v3/contenttype/forms"/>
  </ds:schemaRefs>
</ds:datastoreItem>
</file>

<file path=customXml/itemProps4.xml><?xml version="1.0" encoding="utf-8"?>
<ds:datastoreItem xmlns:ds="http://schemas.openxmlformats.org/officeDocument/2006/customXml" ds:itemID="{838110B2-C915-4CE7-9DD1-77F4D2843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2557</Words>
  <Characters>14068</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Nieuwe verdeling middelen onderwijskansenbeleid scholen en gemeenten</vt:lpstr>
    </vt:vector>
  </TitlesOfParts>
  <Company>Capgemini Nederland B.V. / D76</Company>
  <LinksUpToDate>false</LinksUpToDate>
  <CharactersWithSpaces>16592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Nieuwe verdeling middelen onderwijskansenbeleid scholen en gemeenten</dc:title>
  <dc:creator>X</dc:creator>
  <cp:keywords>Kamerbrief</cp:keywords>
  <cp:lastModifiedBy>Ernst Radius</cp:lastModifiedBy>
  <cp:revision>2</cp:revision>
  <cp:lastPrinted>2018-04-25T13:20:00Z</cp:lastPrinted>
  <dcterms:created xsi:type="dcterms:W3CDTF">2018-04-26T14:44:00Z</dcterms:created>
  <dcterms:modified xsi:type="dcterms:W3CDTF">2018-04-26T14:44:00Z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 documentnummer">
    <vt:lpwstr>1339533</vt:lpwstr>
  </property>
  <property fmtid="{D5CDD505-2E9C-101B-9397-08002B2CF9AE}" pid="3" name="ContentTypeId">
    <vt:lpwstr>0x01010022EEF302975DB2478F9B4E614F68BD37</vt:lpwstr>
  </property>
</Properties>
</file>